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D10D0" w:rsidRPr="00CD10D0">
        <w:rPr>
          <w:b/>
          <w:i/>
          <w:noProof/>
          <w:sz w:val="28"/>
        </w:rPr>
        <w:t>S2-2106060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96CFA">
            <w:pPr>
              <w:pStyle w:val="CRCoverPage"/>
              <w:spacing w:after="0"/>
              <w:jc w:val="right"/>
              <w:rPr>
                <w:b/>
                <w:noProof/>
                <w:sz w:val="28"/>
              </w:rPr>
            </w:pPr>
            <w:r>
              <w:rPr>
                <w:b/>
                <w:noProof/>
                <w:sz w:val="28"/>
              </w:rPr>
              <w:t>23.</w:t>
            </w:r>
            <w:r w:rsidR="00896CF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5B6E" w:rsidP="00547111">
            <w:pPr>
              <w:pStyle w:val="CRCoverPage"/>
              <w:spacing w:after="0"/>
              <w:rPr>
                <w:noProof/>
              </w:rPr>
            </w:pPr>
            <w:r w:rsidRPr="002A5B6E">
              <w:rPr>
                <w:b/>
                <w:noProof/>
                <w:sz w:val="28"/>
              </w:rPr>
              <w:t>3034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2A5B6E">
              <w:rPr>
                <w:b/>
                <w:noProof/>
                <w:sz w:val="28"/>
              </w:rPr>
              <w:fldChar w:fldCharType="begin"/>
            </w:r>
            <w:r w:rsidRPr="002A5B6E">
              <w:rPr>
                <w:b/>
                <w:noProof/>
                <w:sz w:val="28"/>
              </w:rPr>
              <w:instrText xml:space="preserve"> DOCPROPERTY  Revision  \* MERGEFORMAT </w:instrText>
            </w:r>
            <w:r w:rsidRPr="002A5B6E">
              <w:rPr>
                <w:b/>
                <w:noProof/>
                <w:sz w:val="28"/>
              </w:rPr>
              <w:fldChar w:fldCharType="separate"/>
            </w:r>
            <w:r w:rsidR="006D18D3" w:rsidRPr="002A5B6E">
              <w:rPr>
                <w:b/>
                <w:noProof/>
                <w:sz w:val="28"/>
              </w:rPr>
              <w:t>-</w:t>
            </w:r>
            <w:r w:rsidRPr="002A5B6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D75E6A">
            <w:pPr>
              <w:pStyle w:val="CRCoverPage"/>
              <w:spacing w:after="0"/>
              <w:jc w:val="center"/>
              <w:rPr>
                <w:noProof/>
                <w:sz w:val="28"/>
              </w:rPr>
            </w:pPr>
            <w:r w:rsidRPr="00D75E6A">
              <w:rPr>
                <w:b/>
                <w:noProof/>
                <w:sz w:val="28"/>
              </w:rPr>
              <w:t>1</w:t>
            </w:r>
            <w:r w:rsidR="00D75E6A" w:rsidRPr="00D75E6A">
              <w:rPr>
                <w:b/>
                <w:noProof/>
                <w:sz w:val="28"/>
              </w:rPr>
              <w:t>7</w:t>
            </w:r>
            <w:r w:rsidRPr="00D75E6A">
              <w:rPr>
                <w:b/>
                <w:noProof/>
                <w:sz w:val="28"/>
              </w:rPr>
              <w:t>.</w:t>
            </w:r>
            <w:r w:rsidR="00D75E6A" w:rsidRPr="00D75E6A">
              <w:rPr>
                <w:b/>
                <w:noProof/>
                <w:sz w:val="28"/>
              </w:rPr>
              <w:t>1</w:t>
            </w:r>
            <w:r w:rsidRPr="00D75E6A">
              <w:rPr>
                <w:b/>
                <w:noProof/>
                <w:sz w:val="28"/>
              </w:rPr>
              <w:t>.</w:t>
            </w:r>
            <w:r w:rsidR="00D75E6A" w:rsidRPr="00D75E6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5E6A"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Pr="00D75E6A" w:rsidRDefault="00F25D98" w:rsidP="001E41F3">
            <w:pPr>
              <w:pStyle w:val="CRCoverPage"/>
              <w:spacing w:after="0"/>
              <w:jc w:val="right"/>
              <w:rPr>
                <w:noProof/>
              </w:rPr>
            </w:pPr>
            <w:r w:rsidRPr="00D75E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75E6A" w:rsidRDefault="00AF1A6F" w:rsidP="001E41F3">
            <w:pPr>
              <w:pStyle w:val="CRCoverPage"/>
              <w:spacing w:after="0"/>
              <w:jc w:val="center"/>
              <w:rPr>
                <w:b/>
                <w:caps/>
                <w:noProof/>
              </w:rPr>
            </w:pPr>
            <w:r w:rsidRPr="00D75E6A">
              <w:rPr>
                <w:b/>
                <w:caps/>
                <w:noProof/>
              </w:rPr>
              <w:t>X</w:t>
            </w:r>
          </w:p>
        </w:tc>
        <w:tc>
          <w:tcPr>
            <w:tcW w:w="709" w:type="dxa"/>
            <w:tcBorders>
              <w:left w:val="single" w:sz="4" w:space="0" w:color="auto"/>
            </w:tcBorders>
          </w:tcPr>
          <w:p w:rsidR="00F25D98" w:rsidRPr="00D75E6A" w:rsidRDefault="00F25D98" w:rsidP="001E41F3">
            <w:pPr>
              <w:pStyle w:val="CRCoverPage"/>
              <w:spacing w:after="0"/>
              <w:jc w:val="right"/>
              <w:rPr>
                <w:noProof/>
                <w:u w:val="single"/>
              </w:rPr>
            </w:pPr>
            <w:r w:rsidRPr="00D75E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75E6A" w:rsidRDefault="00AF1A6F" w:rsidP="001E41F3">
            <w:pPr>
              <w:pStyle w:val="CRCoverPage"/>
              <w:spacing w:after="0"/>
              <w:jc w:val="center"/>
              <w:rPr>
                <w:b/>
                <w:caps/>
                <w:noProof/>
              </w:rPr>
            </w:pPr>
            <w:r w:rsidRPr="00D75E6A">
              <w:rPr>
                <w:b/>
                <w:caps/>
                <w:noProof/>
              </w:rPr>
              <w:t>X</w:t>
            </w:r>
          </w:p>
        </w:tc>
        <w:tc>
          <w:tcPr>
            <w:tcW w:w="2126" w:type="dxa"/>
          </w:tcPr>
          <w:p w:rsidR="00F25D98" w:rsidRPr="00D75E6A" w:rsidRDefault="00F25D98" w:rsidP="001E41F3">
            <w:pPr>
              <w:pStyle w:val="CRCoverPage"/>
              <w:spacing w:after="0"/>
              <w:jc w:val="right"/>
              <w:rPr>
                <w:noProof/>
                <w:u w:val="single"/>
              </w:rPr>
            </w:pPr>
            <w:r w:rsidRPr="00D75E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D75E6A" w:rsidRDefault="00F25D98" w:rsidP="001E41F3">
            <w:pPr>
              <w:pStyle w:val="CRCoverPage"/>
              <w:spacing w:after="0"/>
              <w:jc w:val="right"/>
              <w:rPr>
                <w:noProof/>
              </w:rPr>
            </w:pPr>
            <w:r w:rsidRPr="00D75E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75E6A" w:rsidRDefault="00AF1A6F" w:rsidP="001E41F3">
            <w:pPr>
              <w:pStyle w:val="CRCoverPage"/>
              <w:spacing w:after="0"/>
              <w:jc w:val="center"/>
              <w:rPr>
                <w:b/>
                <w:bCs/>
                <w:caps/>
                <w:noProof/>
              </w:rPr>
            </w:pPr>
            <w:r w:rsidRPr="00D75E6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0064" w:rsidP="005D6F64">
            <w:pPr>
              <w:pStyle w:val="CRCoverPage"/>
              <w:spacing w:after="0"/>
              <w:ind w:left="100"/>
              <w:rPr>
                <w:noProof/>
              </w:rPr>
            </w:pPr>
            <w:r w:rsidRPr="00A80064">
              <w:t xml:space="preserve">Update of </w:t>
            </w:r>
            <w:r w:rsidR="005D6F64">
              <w:t>CH</w:t>
            </w:r>
            <w:r w:rsidRPr="00A80064">
              <w:t xml:space="preserve"> controlled prioritized list of preferred SNPNs and GINs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0064">
            <w:pPr>
              <w:pStyle w:val="CRCoverPage"/>
              <w:spacing w:after="0"/>
              <w:ind w:left="100"/>
              <w:rPr>
                <w:noProof/>
              </w:rPr>
            </w:pPr>
            <w: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E7A37">
            <w:pPr>
              <w:pStyle w:val="CRCoverPage"/>
              <w:spacing w:after="0"/>
              <w:ind w:left="100"/>
              <w:rPr>
                <w:noProof/>
              </w:rPr>
            </w:pPr>
            <w:r>
              <w:rPr>
                <w:noProof/>
              </w:rPr>
              <w:t>2021-08-</w:t>
            </w:r>
            <w:r w:rsidR="00DE7A3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0064" w:rsidP="00D24991">
            <w:pPr>
              <w:pStyle w:val="CRCoverPage"/>
              <w:spacing w:after="0"/>
              <w:ind w:left="100" w:right="-609"/>
              <w:rPr>
                <w:b/>
                <w:noProof/>
              </w:rPr>
            </w:pPr>
            <w:r w:rsidRPr="0034191E">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A8006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4626F8" w:rsidP="00B661A1">
            <w:pPr>
              <w:pStyle w:val="CRCoverPage"/>
              <w:spacing w:after="0"/>
              <w:ind w:left="100"/>
              <w:rPr>
                <w:noProof/>
                <w:highlight w:val="green"/>
              </w:rPr>
            </w:pPr>
            <w:r w:rsidRPr="003B5C65">
              <w:rPr>
                <w:noProof/>
              </w:rPr>
              <w:t xml:space="preserve">Based on LS </w:t>
            </w:r>
            <w:r w:rsidRPr="003B5C65">
              <w:t xml:space="preserve">C1-212419 and </w:t>
            </w:r>
            <w:r w:rsidRPr="003B5C65">
              <w:rPr>
                <w:color w:val="000000"/>
                <w:lang w:eastAsia="en-GB"/>
              </w:rPr>
              <w:t xml:space="preserve">S3-212208, it is proposed to </w:t>
            </w:r>
            <w:r w:rsidRPr="003B5C65">
              <w:t>use the UPU procedure to update of CH controlled prioritized list of preferred SNPNs and GINs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4626F8">
            <w:pPr>
              <w:pStyle w:val="CRCoverPage"/>
              <w:spacing w:after="0"/>
              <w:ind w:left="100"/>
              <w:rPr>
                <w:noProof/>
                <w:highlight w:val="green"/>
              </w:rPr>
            </w:pPr>
            <w:r>
              <w:t>Add details on how to support dynamic u</w:t>
            </w:r>
            <w:r w:rsidRPr="001E738A">
              <w:t>pdate of CH controlled prioritized list of preferred SNPNs and GINs</w:t>
            </w:r>
            <w:r>
              <w:t xml:space="preserve"> via UPU</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626F8" w:rsidP="00B661A1">
            <w:pPr>
              <w:pStyle w:val="CRCoverPage"/>
              <w:spacing w:after="0"/>
              <w:ind w:left="100"/>
              <w:rPr>
                <w:noProof/>
                <w:highlight w:val="green"/>
              </w:rPr>
            </w:pPr>
            <w:r>
              <w:rPr>
                <w:noProof/>
              </w:rPr>
              <w:t xml:space="preserve">Not clear which procedure to support of dynamic update of </w:t>
            </w:r>
            <w:r>
              <w:t>prioritized list of preferred SNPNs and GINs to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4FFF">
            <w:pPr>
              <w:pStyle w:val="CRCoverPage"/>
              <w:spacing w:after="0"/>
              <w:ind w:left="100"/>
              <w:rPr>
                <w:noProof/>
              </w:rPr>
            </w:pPr>
            <w:r w:rsidRPr="00140E21">
              <w:t>4.20.1</w:t>
            </w:r>
            <w:r>
              <w:t xml:space="preserve">, </w:t>
            </w:r>
            <w:r w:rsidRPr="00140E21">
              <w:t>4.20.</w:t>
            </w:r>
            <w:r>
              <w:t>2, 5.2.3.3.1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4FFF" w:rsidRDefault="00AF1A6F">
            <w:pPr>
              <w:pStyle w:val="CRCoverPage"/>
              <w:spacing w:after="0"/>
              <w:jc w:val="center"/>
              <w:rPr>
                <w:b/>
                <w:caps/>
                <w:noProof/>
              </w:rPr>
            </w:pPr>
            <w:r w:rsidRPr="00314FFF">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4FFF" w:rsidRDefault="00AF1A6F">
            <w:pPr>
              <w:pStyle w:val="CRCoverPage"/>
              <w:spacing w:after="0"/>
              <w:jc w:val="center"/>
              <w:rPr>
                <w:b/>
                <w:caps/>
                <w:noProof/>
              </w:rPr>
            </w:pPr>
            <w:r w:rsidRPr="00314FF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4FFF" w:rsidRDefault="00AF1A6F">
            <w:pPr>
              <w:pStyle w:val="CRCoverPage"/>
              <w:spacing w:after="0"/>
              <w:jc w:val="center"/>
              <w:rPr>
                <w:b/>
                <w:caps/>
                <w:noProof/>
              </w:rPr>
            </w:pPr>
            <w:r w:rsidRPr="00314FF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44780" w:rsidRDefault="00844780" w:rsidP="00844780">
      <w:pPr>
        <w:pStyle w:val="2"/>
      </w:pPr>
      <w:bookmarkStart w:id="3" w:name="_Toc75411661"/>
      <w:bookmarkStart w:id="4" w:name="_Toc68062078"/>
      <w:bookmarkStart w:id="5" w:name="_Toc51834873"/>
      <w:bookmarkStart w:id="6" w:name="_Toc47592786"/>
      <w:bookmarkStart w:id="7" w:name="_Toc45193154"/>
      <w:bookmarkStart w:id="8" w:name="_Toc36192064"/>
      <w:bookmarkStart w:id="9" w:name="_Toc27894983"/>
      <w:bookmarkStart w:id="10" w:name="_Toc20204291"/>
      <w:bookmarkEnd w:id="2"/>
      <w:r>
        <w:t>4.20</w:t>
      </w:r>
      <w:r>
        <w:tab/>
        <w:t>UE Parameters Update via UDM Control Plane Procedure</w:t>
      </w:r>
      <w:bookmarkEnd w:id="3"/>
    </w:p>
    <w:p w:rsidR="00844780" w:rsidRDefault="00844780" w:rsidP="00844780">
      <w:pPr>
        <w:pStyle w:val="3"/>
      </w:pPr>
      <w:bookmarkStart w:id="11" w:name="_Toc75411662"/>
      <w:r>
        <w:t>4.20.1</w:t>
      </w:r>
      <w:r>
        <w:tab/>
        <w:t>General</w:t>
      </w:r>
      <w:bookmarkEnd w:id="11"/>
    </w:p>
    <w:p w:rsidR="00844780" w:rsidRDefault="00844780" w:rsidP="00844780">
      <w:r>
        <w:t>The purpose of the control plane solution for update of UE parameters is to allow the HPLMN</w:t>
      </w:r>
      <w:ins w:id="12" w:author="Huawei-Z" w:date="2021-06-29T18:21:00Z">
        <w:r>
          <w:t>,</w:t>
        </w:r>
        <w:r w:rsidRPr="00140E21">
          <w:t xml:space="preserve"> </w:t>
        </w:r>
        <w:r>
          <w:t>or SNPN or CH</w:t>
        </w:r>
      </w:ins>
      <w:r>
        <w:t xml:space="preserve"> to update the UE with a specific set of parameters, generated and stored in the UDM, by delivering protected UDM Update Data via NAS signalling. The HPLMN</w:t>
      </w:r>
      <w:ins w:id="13" w:author="Huawei-Z" w:date="2021-06-29T18:21:00Z">
        <w:r>
          <w:t>,</w:t>
        </w:r>
        <w:r w:rsidRPr="00140E21">
          <w:t xml:space="preserve"> </w:t>
        </w:r>
        <w:r>
          <w:t>or SNPN or CH</w:t>
        </w:r>
      </w:ins>
      <w:r>
        <w:t xml:space="preserve"> updates such parameters based on the operator policies.</w:t>
      </w:r>
    </w:p>
    <w:p w:rsidR="00844780" w:rsidRDefault="00844780" w:rsidP="00844780">
      <w:r>
        <w:t>The UDM Update Data that the UDM delivers to the UE may contain:</w:t>
      </w:r>
    </w:p>
    <w:p w:rsidR="00844780" w:rsidRDefault="00844780" w:rsidP="00844780">
      <w:pPr>
        <w:pStyle w:val="B1"/>
      </w:pPr>
      <w:r>
        <w:t>-</w:t>
      </w:r>
      <w:r>
        <w:tab/>
      </w:r>
      <w:proofErr w:type="gramStart"/>
      <w:r>
        <w:t>one</w:t>
      </w:r>
      <w:proofErr w:type="gramEnd"/>
      <w:r>
        <w:t xml:space="preserve"> or more UE parameters including:</w:t>
      </w:r>
    </w:p>
    <w:p w:rsidR="00844780" w:rsidRDefault="00844780" w:rsidP="00844780">
      <w:pPr>
        <w:pStyle w:val="B2"/>
      </w:pPr>
      <w:r>
        <w:t>-</w:t>
      </w:r>
      <w:r>
        <w:tab/>
      </w:r>
      <w:proofErr w:type="gramStart"/>
      <w:r>
        <w:t>the</w:t>
      </w:r>
      <w:proofErr w:type="gramEnd"/>
      <w:r>
        <w:t xml:space="preserve"> updated Default Configured NSSAI (final consumer of the parameter is the ME).</w:t>
      </w:r>
    </w:p>
    <w:p w:rsidR="00844780" w:rsidRDefault="00844780" w:rsidP="00844780">
      <w:pPr>
        <w:pStyle w:val="B2"/>
        <w:rPr>
          <w:noProof/>
        </w:rPr>
      </w:pPr>
      <w:r>
        <w:rPr>
          <w:noProof/>
        </w:rPr>
        <w:t>-</w:t>
      </w:r>
      <w:r>
        <w:rPr>
          <w:noProof/>
        </w:rPr>
        <w:tab/>
        <w:t>the updated Routing Indicator Data (</w:t>
      </w:r>
      <w:r>
        <w:t>final consumer of the parameter is the USIM</w:t>
      </w:r>
      <w:r>
        <w:rPr>
          <w:noProof/>
        </w:rPr>
        <w:t>).</w:t>
      </w:r>
    </w:p>
    <w:p w:rsidR="00C1773B" w:rsidRDefault="00C1773B" w:rsidP="00C1773B">
      <w:pPr>
        <w:pStyle w:val="B2"/>
        <w:rPr>
          <w:ins w:id="14" w:author="Huawei-Z" w:date="2021-06-29T18:21:00Z"/>
          <w:noProof/>
        </w:rPr>
      </w:pPr>
      <w:ins w:id="15" w:author="Huawei-Z" w:date="2021-06-29T18:21:00Z">
        <w:r>
          <w:rPr>
            <w:noProof/>
          </w:rPr>
          <w:t>-</w:t>
        </w:r>
        <w:r>
          <w:rPr>
            <w:noProof/>
          </w:rPr>
          <w:tab/>
        </w:r>
        <w:r>
          <w:t>Credentials Holder</w:t>
        </w:r>
        <w:r w:rsidRPr="00A80064">
          <w:t xml:space="preserve"> controlled prioritized list of preferred SNPNs and GINs</w:t>
        </w:r>
        <w:r>
          <w:t xml:space="preserve"> </w:t>
        </w:r>
        <w:r>
          <w:rPr>
            <w:noProof/>
          </w:rPr>
          <w:t>(see TS</w:t>
        </w:r>
        <w:r>
          <w:t> </w:t>
        </w:r>
        <w:r>
          <w:rPr>
            <w:noProof/>
          </w:rPr>
          <w:t>23.501</w:t>
        </w:r>
        <w:r>
          <w:t> </w:t>
        </w:r>
        <w:r>
          <w:rPr>
            <w:noProof/>
          </w:rPr>
          <w:t xml:space="preserve">[2] clause 5.30.2.3) </w:t>
        </w:r>
        <w:r w:rsidRPr="00140E21">
          <w:t>(final consumer of the parameter is the ME</w:t>
        </w:r>
        <w:r>
          <w:t xml:space="preserve"> or USIM</w:t>
        </w:r>
        <w:r w:rsidRPr="00140E21">
          <w:t>)</w:t>
        </w:r>
        <w:r>
          <w:rPr>
            <w:noProof/>
          </w:rPr>
          <w:t>.</w:t>
        </w:r>
      </w:ins>
    </w:p>
    <w:p w:rsidR="00844780" w:rsidRDefault="00844780" w:rsidP="00844780">
      <w:pPr>
        <w:pStyle w:val="B1"/>
      </w:pPr>
      <w:r>
        <w:t>-</w:t>
      </w:r>
      <w:r>
        <w:tab/>
      </w:r>
      <w:proofErr w:type="gramStart"/>
      <w:r>
        <w:t>a</w:t>
      </w:r>
      <w:proofErr w:type="gramEnd"/>
      <w:r>
        <w:t xml:space="preserve"> "UE acknowledgement requested" indication.</w:t>
      </w:r>
    </w:p>
    <w:p w:rsidR="00844780" w:rsidRDefault="00844780" w:rsidP="00844780">
      <w:pPr>
        <w:pStyle w:val="B1"/>
      </w:pPr>
      <w:r>
        <w:t>-</w:t>
      </w:r>
      <w:r>
        <w:tab/>
      </w:r>
      <w:proofErr w:type="gramStart"/>
      <w:r>
        <w:t>a</w:t>
      </w:r>
      <w:proofErr w:type="gramEnd"/>
      <w:r>
        <w:t xml:space="preserve"> "re-registration requested" indication.</w:t>
      </w:r>
    </w:p>
    <w:p w:rsidR="00F541A7" w:rsidRPr="0042466D" w:rsidRDefault="00F541A7" w:rsidP="00F541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7541166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44780" w:rsidRDefault="00844780" w:rsidP="00844780">
      <w:pPr>
        <w:pStyle w:val="3"/>
      </w:pPr>
      <w:r>
        <w:t>4.20.2</w:t>
      </w:r>
      <w:r>
        <w:tab/>
        <w:t>UE Parameters Update via UDM Control Plane Procedure</w:t>
      </w:r>
      <w:bookmarkEnd w:id="16"/>
    </w:p>
    <w:p w:rsidR="00844780" w:rsidRDefault="00844780" w:rsidP="00844780">
      <w:pPr>
        <w:pStyle w:val="TH"/>
      </w:pPr>
      <w:r>
        <w:object w:dxaOrig="9615"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55.8pt" o:ole="">
            <v:imagedata r:id="rId12" o:title=""/>
          </v:shape>
          <o:OLEObject Type="Embed" ProgID="Word.Picture.8" ShapeID="_x0000_i1025" DrawAspect="Content" ObjectID="_1690121102" r:id="rId13"/>
        </w:object>
      </w:r>
    </w:p>
    <w:p w:rsidR="00844780" w:rsidRDefault="00844780" w:rsidP="00844780">
      <w:pPr>
        <w:pStyle w:val="TF"/>
      </w:pPr>
      <w:r>
        <w:t>Figure 4.20.2-1: UE Parameters Update via UDM Control Plane Procedure</w:t>
      </w:r>
    </w:p>
    <w:p w:rsidR="00844780" w:rsidRDefault="00844780" w:rsidP="00844780">
      <w:pPr>
        <w:pStyle w:val="B1"/>
      </w:pPr>
      <w:r>
        <w:t>1.</w:t>
      </w:r>
      <w:r>
        <w:tab/>
        <w:t>UDM decides to perform UE parameter update</w:t>
      </w:r>
      <w:del w:id="17" w:author="Huawei-Z" w:date="2021-06-29T18:22:00Z">
        <w:r w:rsidDel="00CD648C">
          <w:delText xml:space="preserve"> due to "Routing Indicator update data" or "Default Configured NSSAI update data"</w:delText>
        </w:r>
      </w:del>
      <w:r>
        <w:t>.</w:t>
      </w:r>
    </w:p>
    <w:p w:rsidR="00844780" w:rsidRDefault="00844780" w:rsidP="00844780">
      <w:pPr>
        <w:pStyle w:val="B1"/>
      </w:pPr>
      <w:r>
        <w:t>2.</w:t>
      </w:r>
      <w:r>
        <w:tab/>
        <w:t xml:space="preserve">From UDM to the AMF: The UDM notifies the changes of the information related to the UE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UDM Update Data </w:t>
      </w:r>
      <w:del w:id="18" w:author="Huawei-Z" w:date="2021-06-29T18:22:00Z">
        <w:r w:rsidDel="00CD648C">
          <w:delText>(e.g. "Routing Indicator update data", "Default Configured NSSAI update data")</w:delText>
        </w:r>
      </w:del>
      <w:r>
        <w:t xml:space="preserve"> that needs to be delivered transparently to the UE over NAS within the Access and Mobility Subscription data. The UDM </w:t>
      </w:r>
      <w:ins w:id="19" w:author="Huawei-Z" w:date="2021-06-29T18:22:00Z">
        <w:r w:rsidR="00CD648C">
          <w:t>U</w:t>
        </w:r>
      </w:ins>
      <w:del w:id="20" w:author="Huawei-Z" w:date="2021-06-29T18:22:00Z">
        <w:r w:rsidDel="00CD648C">
          <w:delText>u</w:delText>
        </w:r>
      </w:del>
      <w:r>
        <w:t xml:space="preserve">pdate </w:t>
      </w:r>
      <w:ins w:id="21" w:author="Huawei-Z" w:date="2021-06-29T18:22:00Z">
        <w:r w:rsidR="00CD648C">
          <w:t>D</w:t>
        </w:r>
      </w:ins>
      <w:del w:id="22" w:author="Huawei-Z" w:date="2021-06-29T18:22:00Z">
        <w:r w:rsidDel="00CD648C">
          <w:delText>d</w:delText>
        </w:r>
      </w:del>
      <w:r>
        <w:t>ata includes:</w:t>
      </w:r>
    </w:p>
    <w:p w:rsidR="00844780" w:rsidRDefault="00844780" w:rsidP="00844780">
      <w:pPr>
        <w:pStyle w:val="B2"/>
      </w:pPr>
      <w:r>
        <w:t>-</w:t>
      </w:r>
      <w:r>
        <w:tab/>
        <w:t>The updated parameters to be delivered to the UE (</w:t>
      </w:r>
      <w:ins w:id="23" w:author="Huawei-Z" w:date="2021-06-29T18:22:00Z">
        <w:r w:rsidR="005F437D">
          <w:t>see clause 4.20.1 for parameters possible to deliver</w:t>
        </w:r>
      </w:ins>
      <w:del w:id="24" w:author="Huawei-Z" w:date="2021-06-29T18:22:00Z">
        <w:r w:rsidDel="005F437D">
          <w:delText>e.g. the updated Routing Indicator Data, the Default Configured NSSAI</w:delText>
        </w:r>
      </w:del>
      <w:r>
        <w:t>).</w:t>
      </w:r>
    </w:p>
    <w:p w:rsidR="00844780" w:rsidRDefault="00844780" w:rsidP="00844780">
      <w:pPr>
        <w:pStyle w:val="B2"/>
      </w:pPr>
      <w:r>
        <w:t>-</w:t>
      </w:r>
      <w:r>
        <w:tab/>
      </w:r>
      <w:proofErr w:type="gramStart"/>
      <w:r>
        <w:t>whether</w:t>
      </w:r>
      <w:proofErr w:type="gramEnd"/>
      <w:r>
        <w:t xml:space="preserve"> the UE needs to send an </w:t>
      </w:r>
      <w:proofErr w:type="spellStart"/>
      <w:r>
        <w:t>ack</w:t>
      </w:r>
      <w:proofErr w:type="spellEnd"/>
      <w:r>
        <w:t xml:space="preserve"> to the UDM.</w:t>
      </w:r>
    </w:p>
    <w:p w:rsidR="00844780" w:rsidRDefault="00844780" w:rsidP="00844780">
      <w:pPr>
        <w:pStyle w:val="B2"/>
      </w:pPr>
      <w:r>
        <w:t>-</w:t>
      </w:r>
      <w:r>
        <w:tab/>
      </w:r>
      <w:proofErr w:type="gramStart"/>
      <w:r>
        <w:t>whether</w:t>
      </w:r>
      <w:proofErr w:type="gramEnd"/>
      <w:r>
        <w:t xml:space="preserve"> the UE needs to re-register after updating the data.</w:t>
      </w:r>
    </w:p>
    <w:p w:rsidR="00844780" w:rsidRDefault="00844780" w:rsidP="00844780">
      <w:pPr>
        <w:pStyle w:val="B1"/>
      </w:pPr>
      <w:r>
        <w:lastRenderedPageBreak/>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rsidR="00844780" w:rsidRDefault="00844780" w:rsidP="00844780">
      <w:pPr>
        <w:pStyle w:val="B1"/>
      </w:pPr>
      <w:r>
        <w:t>4.</w:t>
      </w:r>
      <w:r>
        <w:tab/>
        <w:t>From AMF to the UE: the AMF sends a DL NAS TRANSPORT message to the served UE. The AMF includes in the DL NAS TRANSPORT message the transparent container received from the UDM.</w:t>
      </w:r>
    </w:p>
    <w:p w:rsidR="00844780" w:rsidRDefault="00844780" w:rsidP="00844780">
      <w:pPr>
        <w:pStyle w:val="B1"/>
      </w:pPr>
      <w:r>
        <w:tab/>
        <w:t>The UE verifies based on mechanisms defined in TS 33.501 [15] that the UDM Update Data is provided by HPLMN</w:t>
      </w:r>
      <w:ins w:id="25" w:author="Huawei-Z" w:date="2021-06-29T18:22:00Z">
        <w:r w:rsidR="00791585">
          <w:t>, SNPN or CH</w:t>
        </w:r>
      </w:ins>
      <w:r>
        <w:t>, and:</w:t>
      </w:r>
    </w:p>
    <w:p w:rsidR="00844780" w:rsidRDefault="00844780" w:rsidP="00844780">
      <w:pPr>
        <w:pStyle w:val="B2"/>
      </w:pPr>
      <w:r>
        <w:t>-</w:t>
      </w:r>
      <w:r>
        <w:tab/>
        <w:t>If the security check on the UDM Update Data is successful, as defined in TS 33.501 [15] the UE either stores the information and uses those parameters from that point onwards, or forwards the information to the USIM; and</w:t>
      </w:r>
    </w:p>
    <w:p w:rsidR="00844780" w:rsidRDefault="00844780" w:rsidP="00844780">
      <w:pPr>
        <w:pStyle w:val="B2"/>
      </w:pPr>
      <w:r>
        <w:t>-</w:t>
      </w:r>
      <w:r>
        <w:tab/>
        <w:t>If the security check on the UDM Update Data fails, the UE discards the contents of the UDM Update Data.</w:t>
      </w:r>
    </w:p>
    <w:p w:rsidR="00844780" w:rsidRDefault="00844780" w:rsidP="00844780">
      <w:pPr>
        <w:pStyle w:val="B1"/>
      </w:pPr>
      <w:r>
        <w:t>5.</w:t>
      </w:r>
      <w:r>
        <w:tab/>
        <w:t>The UE to the AMF: If the UE has verified that the UDM Update Data is provided by HPLMN</w:t>
      </w:r>
      <w:ins w:id="26" w:author="Huawei-Z" w:date="2021-06-29T18:22:00Z">
        <w:r w:rsidR="00791585">
          <w:t>, SNPN or CH</w:t>
        </w:r>
      </w:ins>
      <w:r>
        <w:t xml:space="preserve"> and the UDM has requested the UE to send an </w:t>
      </w:r>
      <w:proofErr w:type="spellStart"/>
      <w:r>
        <w:t>ack</w:t>
      </w:r>
      <w:proofErr w:type="spellEnd"/>
      <w:r>
        <w:t xml:space="preserve"> to the UDM, the UE sends an UL NAS TRANSPORT message to the serving AMF with a transparent container including the UE acknowledgement.</w:t>
      </w:r>
    </w:p>
    <w:p w:rsidR="00844780" w:rsidRDefault="00844780" w:rsidP="00844780">
      <w:pPr>
        <w:pStyle w:val="B1"/>
      </w:pPr>
      <w:r>
        <w:t>6.</w:t>
      </w:r>
      <w:r>
        <w:tab/>
        <w:t xml:space="preserve">The AMF to the UDM: If the AMF receives an UL NAS TRANSPORT message with a transparent container carrying a UE acknowledgement from the UE, the AMF sends a </w:t>
      </w:r>
      <w:proofErr w:type="spellStart"/>
      <w:r>
        <w:t>Nudm_SDM_Info</w:t>
      </w:r>
      <w:proofErr w:type="spellEnd"/>
      <w:r>
        <w:t xml:space="preserve"> request message including the transparent container to the UDM.</w:t>
      </w:r>
    </w:p>
    <w:p w:rsidR="00844780" w:rsidRDefault="00844780" w:rsidP="00844780">
      <w:pPr>
        <w:pStyle w:val="B1"/>
      </w:pPr>
      <w:r>
        <w:t>7.</w:t>
      </w:r>
      <w:r>
        <w:tab/>
        <w:t>If the UDM has requested the UE to re-register, the UE waits until it goes back to RRC idle and initiates a Registration procedure as defined in TS 24.501 [25].</w:t>
      </w:r>
    </w:p>
    <w:bookmarkEnd w:id="4"/>
    <w:bookmarkEnd w:id="5"/>
    <w:bookmarkEnd w:id="6"/>
    <w:bookmarkEnd w:id="7"/>
    <w:bookmarkEnd w:id="8"/>
    <w:bookmarkEnd w:id="9"/>
    <w:bookmarkEnd w:id="10"/>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91585" w:rsidRDefault="00791585" w:rsidP="00791585">
      <w:pPr>
        <w:pStyle w:val="5"/>
        <w:rPr>
          <w:rFonts w:eastAsia="Malgun Gothic"/>
        </w:rPr>
      </w:pPr>
      <w:bookmarkStart w:id="27" w:name="_Toc75411868"/>
      <w:bookmarkStart w:id="28" w:name="_Toc68062281"/>
      <w:bookmarkStart w:id="29" w:name="_Toc51835069"/>
      <w:bookmarkStart w:id="30" w:name="_Toc47592982"/>
      <w:bookmarkStart w:id="31" w:name="_Toc45193350"/>
      <w:bookmarkStart w:id="32" w:name="_Toc36192237"/>
      <w:bookmarkStart w:id="33" w:name="_Toc27895140"/>
      <w:bookmarkStart w:id="34" w:name="_Toc20204441"/>
      <w:r>
        <w:rPr>
          <w:rFonts w:eastAsia="Malgun Gothic"/>
        </w:rPr>
        <w:t>5.2.3.3.1</w:t>
      </w:r>
      <w:r>
        <w:rPr>
          <w:rFonts w:eastAsia="Malgun Gothic"/>
        </w:rPr>
        <w:tab/>
        <w:t>General</w:t>
      </w:r>
      <w:bookmarkEnd w:id="27"/>
    </w:p>
    <w:p w:rsidR="00791585" w:rsidRDefault="00791585" w:rsidP="00791585">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rsidR="00791585" w:rsidRDefault="00791585" w:rsidP="00791585">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91585" w:rsidTr="0079158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791585" w:rsidRDefault="00791585">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H"/>
              <w:rPr>
                <w:rFonts w:eastAsia="Malgun Gothic"/>
              </w:rPr>
            </w:pPr>
            <w:r>
              <w:rPr>
                <w:rFonts w:eastAsia="Malgun Gothic"/>
              </w:rPr>
              <w:t>Description</w:t>
            </w:r>
          </w:p>
        </w:tc>
      </w:tr>
      <w:tr w:rsidR="00791585" w:rsidTr="00791585">
        <w:trPr>
          <w:cantSplit/>
          <w:tblHeader/>
          <w:jc w:val="center"/>
        </w:trPr>
        <w:tc>
          <w:tcPr>
            <w:tcW w:w="1980" w:type="dxa"/>
            <w:tcBorders>
              <w:top w:val="single" w:sz="4" w:space="0" w:color="auto"/>
              <w:left w:val="single" w:sz="4" w:space="0" w:color="auto"/>
              <w:bottom w:val="nil"/>
              <w:right w:val="single" w:sz="4" w:space="0" w:color="auto"/>
            </w:tcBorders>
            <w:hideMark/>
          </w:tcPr>
          <w:p w:rsidR="00791585" w:rsidRDefault="00791585">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791585" w:rsidTr="00791585">
        <w:trPr>
          <w:cantSplit/>
          <w:tblHeader/>
          <w:jc w:val="center"/>
        </w:trPr>
        <w:tc>
          <w:tcPr>
            <w:tcW w:w="1980" w:type="dxa"/>
            <w:tcBorders>
              <w:top w:val="nil"/>
              <w:left w:val="single" w:sz="4" w:space="0" w:color="auto"/>
              <w:bottom w:val="nil"/>
              <w:right w:val="single" w:sz="4" w:space="0" w:color="auto"/>
            </w:tcBorders>
            <w:hideMark/>
          </w:tcPr>
          <w:p w:rsidR="00791585" w:rsidRDefault="00791585">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List of the subscribed internal group(s) that the UE belongs to.</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The Subscribed S-NSSAIs marked as default S-NSSAI. In the roaming case, only those applicable to the Serving PLMN (NOTE 12).</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The Subscribed S-NSSAIs marked as subject to NSSAA. When present, the GPSI list shall include at least one GPSI.</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As defined in clause 5.15.7.2 of TS 23.501 [2].</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Defines areas in which the UE is not permitted to initiate any communication with the network.</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Defines whether UE is allowed to connect to 5GC and/or EPC for this PLMN.</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When present, indicates to the serving AMF that the CAG information in the subscription data changed and the UE must be updated.</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An index to specific RRM configuration in the NG-RAN.</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a subscribed active time value, which may be influenced by e.g. network configuration parameter as specified in clause 4.15.6.3a.</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the user is subscribed to MPS as indicated in clause 5.16.5 of TS 23.501 [2].</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the user is subscribed to MCX as indicated in clause 5.16.6 of TS 23.501 [2].</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Information on expected UE movement and communication characteristics. See clause 4.15.6.3</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791585" w:rsidRDefault="00791585">
            <w:pPr>
              <w:pStyle w:val="TAL"/>
              <w:rPr>
                <w:rFonts w:eastAsia="Malgun Gothic"/>
              </w:rPr>
            </w:pPr>
            <w:r>
              <w:rPr>
                <w:rFonts w:eastAsia="Malgun Gothic"/>
              </w:rPr>
              <w:t>Optionally includes an indication that the UDM requests an acknowledgement of the reception of this information from the UE.</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Trace requirements about a UE (e.g. trace reference, address of the Trace Collection Entity, etc.) is defined in TS 32.421 [39].</w:t>
            </w:r>
          </w:p>
          <w:p w:rsidR="00791585" w:rsidRDefault="00791585">
            <w:pPr>
              <w:pStyle w:val="TAL"/>
              <w:rPr>
                <w:rFonts w:eastAsia="Malgun Gothic"/>
              </w:rPr>
            </w:pPr>
            <w:r>
              <w:rPr>
                <w:rFonts w:eastAsia="Malgun Gothic"/>
              </w:rPr>
              <w:t>This information is only sent to AMF in the HPLMN or one of its equivalent PLMN(s).</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Used to set the Service Gap timer for Service Gap Control (see clause 5.31.16 of TS 23.501 [2]).</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791585" w:rsidRDefault="00791585">
            <w:pPr>
              <w:pStyle w:val="TAL"/>
              <w:rPr>
                <w:rFonts w:eastAsia="Malgun Gothic"/>
              </w:rPr>
            </w:pPr>
            <w:r>
              <w:rPr>
                <w:rFonts w:eastAsia="Malgun Gothic"/>
              </w:rPr>
              <w:t xml:space="preserve">Includes a set of parameters </w:t>
            </w:r>
            <w:ins w:id="35" w:author="Huawei-Z" w:date="2021-06-29T18:24:00Z">
              <w:r>
                <w:t>see clause 4.20.1 for parameters possible to deliver</w:t>
              </w:r>
              <w:del w:id="36" w:author="Huawei-Z" w:date="2021-06-23T18:12:00Z">
                <w:r w:rsidDel="00FA343A">
                  <w:rPr>
                    <w:rFonts w:eastAsia="Malgun Gothic"/>
                  </w:rPr>
                  <w:delText>e</w:delText>
                </w:r>
              </w:del>
            </w:ins>
            <w:del w:id="37" w:author="Huawei-Z" w:date="2021-06-29T18:24:00Z">
              <w:r w:rsidDel="00791585">
                <w:rPr>
                  <w:rFonts w:eastAsia="Malgun Gothic"/>
                </w:rPr>
                <w:delText>(e.g. updated Default Configured NSSAI and/or updated Routing Indicator</w:delText>
              </w:r>
            </w:del>
            <w:r>
              <w:rPr>
                <w:rFonts w:eastAsia="Malgun Gothic"/>
              </w:rPr>
              <w:t>) to be delivered from UDM to the UE via NAS signalling as defined in clause 4.20 (NOTE 3).</w:t>
            </w:r>
          </w:p>
          <w:p w:rsidR="00791585" w:rsidRDefault="00791585">
            <w:pPr>
              <w:pStyle w:val="TAL"/>
              <w:rPr>
                <w:rFonts w:eastAsia="Malgun Gothic"/>
              </w:rPr>
            </w:pPr>
          </w:p>
          <w:p w:rsidR="00791585" w:rsidRDefault="00791585">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that the subscriber is allowed for IAB-operation as specified in clause 5.35.2 of TS 23.501 [2].</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It contains the Charging Characteristics as defined in Annex A of TS 32.256 [71].</w:t>
            </w:r>
          </w:p>
          <w:p w:rsidR="00791585" w:rsidRDefault="00791585">
            <w:pPr>
              <w:pStyle w:val="TAL"/>
              <w:rPr>
                <w:rFonts w:eastAsia="Malgun Gothic"/>
              </w:rPr>
            </w:pPr>
            <w:r>
              <w:rPr>
                <w:rFonts w:eastAsia="Malgun Gothic"/>
              </w:rPr>
              <w:t>This information, when provided, shall override any corresponding predefined information at the AMF.</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a subscribed extended idle mode DRX cycle length value.</w:t>
            </w:r>
          </w:p>
        </w:tc>
      </w:tr>
      <w:tr w:rsidR="00791585" w:rsidTr="00791585">
        <w:trPr>
          <w:cantSplit/>
          <w:tblHeader/>
          <w:jc w:val="center"/>
        </w:trPr>
        <w:tc>
          <w:tcPr>
            <w:tcW w:w="1980" w:type="dxa"/>
            <w:tcBorders>
              <w:top w:val="nil"/>
              <w:left w:val="single" w:sz="4" w:space="0" w:color="auto"/>
              <w:bottom w:val="single" w:sz="4" w:space="0" w:color="auto"/>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791585" w:rsidTr="00791585">
        <w:trPr>
          <w:cantSplit/>
          <w:tblHeader/>
          <w:jc w:val="center"/>
        </w:trPr>
        <w:tc>
          <w:tcPr>
            <w:tcW w:w="1980" w:type="dxa"/>
            <w:tcBorders>
              <w:top w:val="single" w:sz="4" w:space="0" w:color="auto"/>
              <w:left w:val="single" w:sz="4" w:space="0" w:color="auto"/>
              <w:bottom w:val="nil"/>
              <w:right w:val="single" w:sz="4" w:space="0" w:color="auto"/>
            </w:tcBorders>
            <w:hideMark/>
          </w:tcPr>
          <w:p w:rsidR="00791585" w:rsidRDefault="00791585">
            <w:pPr>
              <w:pStyle w:val="TAL"/>
              <w:rPr>
                <w:rFonts w:eastAsia="宋体"/>
                <w:lang w:eastAsia="zh-CN"/>
              </w:rPr>
            </w:pPr>
            <w:r>
              <w:rPr>
                <w:rFonts w:eastAsia="宋体"/>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791585" w:rsidTr="00791585">
        <w:trPr>
          <w:cantSplit/>
          <w:tblHeader/>
          <w:jc w:val="center"/>
        </w:trPr>
        <w:tc>
          <w:tcPr>
            <w:tcW w:w="1980" w:type="dxa"/>
            <w:tcBorders>
              <w:top w:val="nil"/>
              <w:left w:val="single" w:sz="4" w:space="0" w:color="auto"/>
              <w:bottom w:val="nil"/>
              <w:right w:val="single" w:sz="4" w:space="0" w:color="auto"/>
            </w:tcBorders>
            <w:hideMark/>
          </w:tcPr>
          <w:p w:rsidR="00791585" w:rsidRDefault="00791585">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The Subscribed S-NSSAIs marked as default S-NSSAI. In the roaming case, only those applicable to the Serving PLMN (NOTE 12).</w:t>
            </w:r>
          </w:p>
        </w:tc>
      </w:tr>
      <w:tr w:rsidR="00791585" w:rsidTr="00791585">
        <w:trPr>
          <w:cantSplit/>
          <w:tblHeader/>
          <w:jc w:val="center"/>
        </w:trPr>
        <w:tc>
          <w:tcPr>
            <w:tcW w:w="1980" w:type="dxa"/>
            <w:tcBorders>
              <w:top w:val="nil"/>
              <w:left w:val="single" w:sz="4" w:space="0" w:color="auto"/>
              <w:bottom w:val="nil"/>
              <w:right w:val="single" w:sz="4" w:space="0" w:color="auto"/>
            </w:tcBorders>
            <w:hideMark/>
          </w:tcPr>
          <w:p w:rsidR="00791585" w:rsidRDefault="00791585">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The Subscribed S-NSSAIs marked as subject to NSSAA.</w:t>
            </w:r>
          </w:p>
        </w:tc>
      </w:tr>
      <w:tr w:rsidR="00791585" w:rsidTr="00791585">
        <w:trPr>
          <w:cantSplit/>
          <w:tblHeader/>
          <w:jc w:val="center"/>
        </w:trPr>
        <w:tc>
          <w:tcPr>
            <w:tcW w:w="1980" w:type="dxa"/>
            <w:tcBorders>
              <w:top w:val="nil"/>
              <w:left w:val="single" w:sz="4" w:space="0" w:color="auto"/>
              <w:bottom w:val="single" w:sz="4" w:space="0" w:color="auto"/>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791585" w:rsidTr="00791585">
        <w:trPr>
          <w:cantSplit/>
          <w:tblHeader/>
          <w:jc w:val="center"/>
        </w:trPr>
        <w:tc>
          <w:tcPr>
            <w:tcW w:w="1980" w:type="dxa"/>
            <w:tcBorders>
              <w:top w:val="single" w:sz="4" w:space="0" w:color="auto"/>
              <w:left w:val="single" w:sz="4" w:space="0" w:color="auto"/>
              <w:bottom w:val="nil"/>
              <w:right w:val="single" w:sz="4" w:space="0" w:color="auto"/>
            </w:tcBorders>
            <w:hideMark/>
          </w:tcPr>
          <w:p w:rsidR="00791585" w:rsidRDefault="00791585">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Key</w:t>
            </w:r>
          </w:p>
        </w:tc>
      </w:tr>
      <w:tr w:rsidR="00791585" w:rsidTr="00791585">
        <w:trPr>
          <w:cantSplit/>
          <w:tblHeader/>
          <w:jc w:val="center"/>
        </w:trPr>
        <w:tc>
          <w:tcPr>
            <w:tcW w:w="1980" w:type="dxa"/>
            <w:tcBorders>
              <w:top w:val="nil"/>
              <w:left w:val="single" w:sz="4" w:space="0" w:color="auto"/>
              <w:bottom w:val="nil"/>
              <w:right w:val="single" w:sz="4" w:space="0" w:color="auto"/>
            </w:tcBorders>
            <w:hideMark/>
          </w:tcPr>
          <w:p w:rsidR="00791585" w:rsidRDefault="00791585">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b/>
              </w:rPr>
            </w:pPr>
            <w:r>
              <w:rPr>
                <w:rFonts w:eastAsia="Malgun Gothic"/>
                <w:b/>
              </w:rPr>
              <w:t>SMF Selection Subscription data contains one or more S-NSSAI level subscription data:</w:t>
            </w:r>
          </w:p>
        </w:tc>
      </w:tr>
      <w:tr w:rsidR="00791585" w:rsidTr="00791585">
        <w:trPr>
          <w:cantSplit/>
          <w:tblHeader/>
          <w:jc w:val="center"/>
        </w:trPr>
        <w:tc>
          <w:tcPr>
            <w:tcW w:w="1980" w:type="dxa"/>
            <w:tcBorders>
              <w:top w:val="nil"/>
              <w:left w:val="single" w:sz="4" w:space="0" w:color="auto"/>
              <w:bottom w:val="nil"/>
              <w:right w:val="single" w:sz="4" w:space="0" w:color="auto"/>
            </w:tcBorders>
            <w:hideMark/>
          </w:tcPr>
          <w:p w:rsidR="00791585" w:rsidRDefault="00791585">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the value of the S-NSSAI.</w:t>
            </w:r>
          </w:p>
        </w:tc>
      </w:tr>
      <w:tr w:rsidR="00791585" w:rsidTr="00791585">
        <w:trPr>
          <w:cantSplit/>
          <w:tblHeader/>
          <w:jc w:val="center"/>
        </w:trPr>
        <w:tc>
          <w:tcPr>
            <w:tcW w:w="1980" w:type="dxa"/>
            <w:tcBorders>
              <w:top w:val="nil"/>
              <w:left w:val="single" w:sz="4" w:space="0" w:color="auto"/>
              <w:bottom w:val="nil"/>
              <w:right w:val="single" w:sz="4" w:space="0" w:color="auto"/>
            </w:tcBorders>
            <w:hideMark/>
          </w:tcPr>
          <w:p w:rsidR="00791585" w:rsidRDefault="00791585">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List of the subscribed DNNs for the UE (NOTE 1).</w:t>
            </w:r>
          </w:p>
        </w:tc>
      </w:tr>
      <w:tr w:rsidR="00791585" w:rsidTr="00791585">
        <w:trPr>
          <w:cantSplit/>
          <w:tblHeader/>
          <w:jc w:val="center"/>
        </w:trPr>
        <w:tc>
          <w:tcPr>
            <w:tcW w:w="1980" w:type="dxa"/>
            <w:tcBorders>
              <w:top w:val="nil"/>
              <w:left w:val="single" w:sz="4" w:space="0" w:color="auto"/>
              <w:bottom w:val="nil"/>
              <w:right w:val="single" w:sz="4" w:space="0" w:color="auto"/>
            </w:tcBorders>
            <w:hideMark/>
          </w:tcPr>
          <w:p w:rsidR="00791585" w:rsidRDefault="00791585">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The default DNN if the UE does not provide a DNN (NOTE 2).</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whether LBO roaming is allowed per DNN, or per (S-NSSAI, subscribed DNN).</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whether EPS interworking is supported per (S-NSSAI, subscribed DNN).</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Indication whether the same SMF for multiple PDU Sessions to the same DNN and S-NSSAI is required.</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When present, indicates, per S-NSSAI and per DNN, that NEF based infrequent small data transfer shall be used for the PDU Session (see NOTE 8).</w:t>
            </w:r>
          </w:p>
        </w:tc>
      </w:tr>
      <w:tr w:rsidR="00791585" w:rsidTr="00791585">
        <w:trPr>
          <w:cantSplit/>
          <w:tblHeader/>
          <w:jc w:val="center"/>
        </w:trPr>
        <w:tc>
          <w:tcPr>
            <w:tcW w:w="1980" w:type="dxa"/>
            <w:tcBorders>
              <w:top w:val="nil"/>
              <w:left w:val="single" w:sz="4" w:space="0" w:color="auto"/>
              <w:bottom w:val="single" w:sz="4" w:space="0" w:color="auto"/>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When static IP address/prefix is used, this may be used to indicate the associated SMF information per (S-NSSAI, DNN).</w:t>
            </w:r>
          </w:p>
        </w:tc>
      </w:tr>
      <w:tr w:rsidR="00791585" w:rsidTr="00791585">
        <w:trPr>
          <w:cantSplit/>
          <w:tblHeader/>
          <w:jc w:val="center"/>
        </w:trPr>
        <w:tc>
          <w:tcPr>
            <w:tcW w:w="1980" w:type="dxa"/>
            <w:tcBorders>
              <w:top w:val="single" w:sz="4" w:space="0" w:color="auto"/>
              <w:left w:val="single" w:sz="4" w:space="0" w:color="auto"/>
              <w:bottom w:val="nil"/>
              <w:right w:val="single" w:sz="4" w:space="0" w:color="auto"/>
            </w:tcBorders>
            <w:hideMark/>
          </w:tcPr>
          <w:p w:rsidR="00791585" w:rsidRDefault="00791585">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Key.</w:t>
            </w:r>
          </w:p>
        </w:tc>
      </w:tr>
      <w:tr w:rsidR="00791585" w:rsidTr="00791585">
        <w:trPr>
          <w:cantSplit/>
          <w:tblHeader/>
          <w:jc w:val="center"/>
        </w:trPr>
        <w:tc>
          <w:tcPr>
            <w:tcW w:w="1980" w:type="dxa"/>
            <w:tcBorders>
              <w:top w:val="nil"/>
              <w:left w:val="single" w:sz="4" w:space="0" w:color="auto"/>
              <w:bottom w:val="nil"/>
              <w:right w:val="single" w:sz="4" w:space="0" w:color="auto"/>
            </w:tcBorders>
            <w:hideMark/>
          </w:tcPr>
          <w:p w:rsidR="00791585" w:rsidRDefault="00791585">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List of PDU Session Id(s) for the UE.</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b/>
              </w:rPr>
            </w:pPr>
            <w:r>
              <w:rPr>
                <w:rFonts w:eastAsia="Malgun Gothic"/>
                <w:b/>
              </w:rPr>
              <w:t>For emergency PDU Session Id:</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The SMF+PGW-C FQDN for emergency session used for interworking with EPC.</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b/>
              </w:rPr>
            </w:pPr>
            <w:r>
              <w:rPr>
                <w:rFonts w:eastAsia="Malgun Gothic"/>
                <w:b/>
              </w:rPr>
              <w:t>For each non-emergency PDU Session Id:</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DNN for the PDU Session.</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Allocated SMF for the PDU Session. Includes SMF IP Address and SMF NF Id.</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The S5/S8 SMF+PGW-C FQDN used for interworking with EPS (see NOTE 5).</w:t>
            </w:r>
          </w:p>
        </w:tc>
      </w:tr>
      <w:tr w:rsidR="00791585" w:rsidTr="00791585">
        <w:trPr>
          <w:cantSplit/>
          <w:tblHeader/>
          <w:jc w:val="center"/>
        </w:trPr>
        <w:tc>
          <w:tcPr>
            <w:tcW w:w="1980" w:type="dxa"/>
            <w:tcBorders>
              <w:top w:val="nil"/>
              <w:left w:val="single" w:sz="4" w:space="0" w:color="auto"/>
              <w:bottom w:val="single" w:sz="4" w:space="0" w:color="auto"/>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The PCF ID serving the PDU Session/PDN Connection.</w:t>
            </w:r>
          </w:p>
        </w:tc>
      </w:tr>
      <w:tr w:rsidR="00791585" w:rsidTr="00791585">
        <w:trPr>
          <w:cantSplit/>
          <w:tblHeader/>
          <w:jc w:val="center"/>
        </w:trPr>
        <w:tc>
          <w:tcPr>
            <w:tcW w:w="1980" w:type="dxa"/>
            <w:tcBorders>
              <w:top w:val="single" w:sz="4" w:space="0" w:color="auto"/>
              <w:left w:val="single" w:sz="4" w:space="0" w:color="auto"/>
              <w:bottom w:val="nil"/>
              <w:right w:val="single" w:sz="4" w:space="0" w:color="auto"/>
            </w:tcBorders>
            <w:hideMark/>
          </w:tcPr>
          <w:p w:rsidR="00791585" w:rsidRDefault="00791585">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SMS parameters subscribed for SMS service such as SMS teleservice, SMS barring list</w:t>
            </w:r>
          </w:p>
        </w:tc>
      </w:tr>
      <w:tr w:rsidR="00791585" w:rsidTr="00791585">
        <w:trPr>
          <w:cantSplit/>
          <w:tblHeader/>
          <w:jc w:val="center"/>
        </w:trPr>
        <w:tc>
          <w:tcPr>
            <w:tcW w:w="1980" w:type="dxa"/>
            <w:tcBorders>
              <w:top w:val="nil"/>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Trace requirements about a UE (e.g. trace reference, address of the Trace Collection Entity, etc.) is defined in TS 32.421 [39].</w:t>
            </w:r>
          </w:p>
          <w:p w:rsidR="00791585" w:rsidRDefault="00791585">
            <w:pPr>
              <w:pStyle w:val="TAL"/>
              <w:rPr>
                <w:rFonts w:eastAsia="Malgun Gothic"/>
              </w:rPr>
            </w:pPr>
            <w:r>
              <w:rPr>
                <w:rFonts w:eastAsia="Malgun Gothic"/>
              </w:rPr>
              <w:t>This information is only sent to a SMSF in HPLMN.</w:t>
            </w:r>
          </w:p>
        </w:tc>
      </w:tr>
      <w:tr w:rsidR="00791585" w:rsidTr="00791585">
        <w:trPr>
          <w:cantSplit/>
          <w:tblHeader/>
          <w:jc w:val="center"/>
        </w:trPr>
        <w:tc>
          <w:tcPr>
            <w:tcW w:w="1980" w:type="dxa"/>
            <w:tcBorders>
              <w:top w:val="single" w:sz="4" w:space="0" w:color="auto"/>
              <w:left w:val="single" w:sz="4" w:space="0" w:color="auto"/>
              <w:bottom w:val="nil"/>
              <w:right w:val="single" w:sz="4" w:space="0" w:color="auto"/>
            </w:tcBorders>
            <w:hideMark/>
          </w:tcPr>
          <w:p w:rsidR="00791585" w:rsidRDefault="00791585">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rsidR="00791585" w:rsidRDefault="00791585">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rsidR="00791585" w:rsidRDefault="00791585">
            <w:pPr>
              <w:pStyle w:val="TAL"/>
              <w:rPr>
                <w:rFonts w:eastAsia="Malgun Gothic"/>
              </w:rPr>
            </w:pPr>
            <w:r>
              <w:rPr>
                <w:rFonts w:eastAsia="Malgun Gothic"/>
              </w:rPr>
              <w:t>Indicates subscription to any SMS delivery service over NAS irrespective of access type.</w:t>
            </w:r>
          </w:p>
        </w:tc>
      </w:tr>
      <w:tr w:rsidR="00791585" w:rsidTr="00791585">
        <w:trPr>
          <w:cantSplit/>
          <w:tblHeader/>
          <w:jc w:val="center"/>
        </w:trPr>
        <w:tc>
          <w:tcPr>
            <w:tcW w:w="1980" w:type="dxa"/>
            <w:tcBorders>
              <w:top w:val="nil"/>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791585" w:rsidRDefault="00791585">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791585" w:rsidRDefault="00791585">
            <w:pPr>
              <w:pStyle w:val="TAL"/>
              <w:rPr>
                <w:rFonts w:eastAsia="Malgun Gothic"/>
              </w:rPr>
            </w:pPr>
          </w:p>
        </w:tc>
      </w:tr>
      <w:tr w:rsidR="00791585" w:rsidTr="00791585">
        <w:trPr>
          <w:cantSplit/>
          <w:tblHeader/>
          <w:jc w:val="center"/>
        </w:trPr>
        <w:tc>
          <w:tcPr>
            <w:tcW w:w="1980" w:type="dxa"/>
            <w:tcBorders>
              <w:top w:val="single" w:sz="4" w:space="0" w:color="auto"/>
              <w:left w:val="single" w:sz="4" w:space="0" w:color="auto"/>
              <w:bottom w:val="nil"/>
              <w:right w:val="single" w:sz="4" w:space="0" w:color="auto"/>
            </w:tcBorders>
            <w:hideMark/>
          </w:tcPr>
          <w:p w:rsidR="00791585" w:rsidRDefault="00791585">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SMSF allocated for the UE, including SMSF address and SMSF NF ID.</w:t>
            </w:r>
          </w:p>
        </w:tc>
      </w:tr>
      <w:tr w:rsidR="00791585" w:rsidTr="00791585">
        <w:trPr>
          <w:cantSplit/>
          <w:tblHeader/>
          <w:jc w:val="center"/>
        </w:trPr>
        <w:tc>
          <w:tcPr>
            <w:tcW w:w="1980" w:type="dxa"/>
            <w:tcBorders>
              <w:top w:val="nil"/>
              <w:left w:val="single" w:sz="4" w:space="0" w:color="auto"/>
              <w:bottom w:val="single" w:sz="4" w:space="0" w:color="auto"/>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3GPP or non-3GPP access through this SMSF</w:t>
            </w:r>
          </w:p>
        </w:tc>
      </w:tr>
      <w:tr w:rsidR="00791585" w:rsidTr="00791585">
        <w:trPr>
          <w:cantSplit/>
          <w:tblHeader/>
          <w:jc w:val="center"/>
        </w:trPr>
        <w:tc>
          <w:tcPr>
            <w:tcW w:w="1980" w:type="dxa"/>
            <w:tcBorders>
              <w:top w:val="single" w:sz="4" w:space="0" w:color="auto"/>
              <w:left w:val="single" w:sz="4" w:space="0" w:color="auto"/>
              <w:bottom w:val="nil"/>
              <w:right w:val="single" w:sz="4" w:space="0" w:color="auto"/>
            </w:tcBorders>
            <w:hideMark/>
          </w:tcPr>
          <w:p w:rsidR="00791585" w:rsidRDefault="00791585">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791585" w:rsidTr="00791585">
        <w:trPr>
          <w:cantSplit/>
          <w:tblHeader/>
          <w:jc w:val="center"/>
        </w:trPr>
        <w:tc>
          <w:tcPr>
            <w:tcW w:w="1980" w:type="dxa"/>
            <w:tcBorders>
              <w:top w:val="nil"/>
              <w:left w:val="single" w:sz="4" w:space="0" w:color="auto"/>
              <w:bottom w:val="nil"/>
              <w:right w:val="single" w:sz="4" w:space="0" w:color="auto"/>
            </w:tcBorders>
            <w:hideMark/>
          </w:tcPr>
          <w:p w:rsidR="00791585" w:rsidRDefault="00791585">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宋体"/>
              </w:rPr>
            </w:pPr>
            <w:r>
              <w:rPr>
                <w:rFonts w:eastAsia="Malgun Gothic"/>
              </w:rPr>
              <w:t>List of the subscribed internal group(s) that the UE belongs to.</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宋体"/>
              </w:rPr>
            </w:pPr>
            <w:r>
              <w:rPr>
                <w:rFonts w:eastAsia="宋体"/>
              </w:rPr>
              <w:t xml:space="preserve">Trace requirements about a UE (e.g. trace reference, address of the Trace Collection Entity, </w:t>
            </w:r>
            <w:proofErr w:type="spellStart"/>
            <w:r>
              <w:rPr>
                <w:rFonts w:eastAsia="宋体"/>
              </w:rPr>
              <w:t>etc</w:t>
            </w:r>
            <w:proofErr w:type="spellEnd"/>
            <w:r>
              <w:rPr>
                <w:rFonts w:eastAsia="宋体"/>
              </w:rPr>
              <w:t>…) is defined in TS 32.421 [39].</w:t>
            </w:r>
          </w:p>
          <w:p w:rsidR="00791585" w:rsidRDefault="00791585">
            <w:pPr>
              <w:pStyle w:val="TAL"/>
              <w:rPr>
                <w:rFonts w:eastAsia="宋体"/>
              </w:rPr>
            </w:pPr>
            <w:r>
              <w:rPr>
                <w:rFonts w:eastAsia="宋体"/>
              </w:rPr>
              <w:t>This information is only sent to a SMF in the HPLMN or one of its equivalent PLMN(s).</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b/>
              </w:rPr>
            </w:pPr>
            <w:r>
              <w:rPr>
                <w:rFonts w:eastAsia="Malgun Gothic"/>
                <w:b/>
              </w:rPr>
              <w:t>Session Management Subscription data contains one or more S-NSSAI level subscription data:</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the value of the S-NSSAI.</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List of the subscribed DNNs for the S-NSSAI (NOTE 1).</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b/>
              </w:rPr>
            </w:pPr>
            <w:r>
              <w:rPr>
                <w:rFonts w:eastAsia="Malgun Gothic"/>
                <w:b/>
              </w:rPr>
              <w:t>For each DNN in S-NSSAI level subscription data:</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DNN for the PDU Session.</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Set of Framed Routes. A Framed Route refers to a range of IPv4 addresses / IPv6 Prefixes to associate with a PDU Session established on this (DNN, S-NSSAI).</w:t>
            </w:r>
          </w:p>
          <w:p w:rsidR="00791585" w:rsidRDefault="00791585">
            <w:pPr>
              <w:pStyle w:val="TAL"/>
              <w:rPr>
                <w:rFonts w:eastAsia="Malgun Gothic"/>
              </w:rPr>
            </w:pPr>
            <w:r>
              <w:rPr>
                <w:rFonts w:eastAsia="Malgun Gothic"/>
              </w:rPr>
              <w:t>See NOTE 4.</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Information used for selecting how the UE IP address is to be allocated (see clause 5.8.2.2.1 in TS 23.501 [2]).</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the allowed PDU Session Types (IPv4, IPv6, IPv4v6, Ethernet, and Unstructured) for the DNN, S-NSSAI. See NOTE 6.</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the default PDU Session Type for the DNN, S-NSSAI.</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the allowed SSC modes for the DNN, S-NSSAI.</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 the default SSC mode for the DNN, S-NSSAI.</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whether interworking with EPS is supported for this DNN and S-NSSAI.</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 the static IP address/prefix for the DNN, S-NSSAI.</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the security policy for integrity protection and encryption for the user plane.</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rsidR="00791585" w:rsidRDefault="00791585">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rsidR="00791585" w:rsidRDefault="00791585">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Information such as External Group Identifier, External Identifier, MSISDN, or AF ID used for SMF-NEF Connection.</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Parameters on expected characteristics of a PDU Session their corresponding validity times as specified in clause 4.15.6.3.</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Parameters on expected PDU session characteristics as specified in clauses 4.15.3.2.3b and 4.15.6.3a.</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whether MA PDU session establishment is allowed.</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 xml:space="preserve">Consists of one or more FQDN(s) and/or IP </w:t>
            </w:r>
            <w:proofErr w:type="gramStart"/>
            <w:r>
              <w:rPr>
                <w:rFonts w:eastAsia="Malgun Gothic"/>
              </w:rPr>
              <w:t>Address(</w:t>
            </w:r>
            <w:proofErr w:type="spellStart"/>
            <w:proofErr w:type="gramEnd"/>
            <w:r>
              <w:rPr>
                <w:rFonts w:eastAsia="Malgun Gothic"/>
              </w:rPr>
              <w:t>es</w:t>
            </w:r>
            <w:proofErr w:type="spellEnd"/>
            <w:r>
              <w:rPr>
                <w:rFonts w:eastAsia="Malgun Gothic"/>
              </w:rPr>
              <w:t>) of Edge Configuration Server(s) as defined in clause 6.5.2 of TS 23.548 [74].</w:t>
            </w:r>
          </w:p>
        </w:tc>
      </w:tr>
      <w:tr w:rsidR="00791585" w:rsidTr="00791585">
        <w:trPr>
          <w:cantSplit/>
          <w:tblHeader/>
          <w:jc w:val="center"/>
        </w:trPr>
        <w:tc>
          <w:tcPr>
            <w:tcW w:w="1980" w:type="dxa"/>
            <w:tcBorders>
              <w:top w:val="single" w:sz="4" w:space="0" w:color="auto"/>
              <w:left w:val="single" w:sz="4" w:space="0" w:color="auto"/>
              <w:bottom w:val="nil"/>
              <w:right w:val="single" w:sz="4" w:space="0" w:color="auto"/>
            </w:tcBorders>
            <w:hideMark/>
          </w:tcPr>
          <w:p w:rsidR="00791585" w:rsidRDefault="00791585">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Corresponding SUPI for input GPSI.</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91585" w:rsidTr="00791585">
        <w:trPr>
          <w:cantSplit/>
          <w:tblHeader/>
          <w:jc w:val="center"/>
        </w:trPr>
        <w:tc>
          <w:tcPr>
            <w:tcW w:w="1980" w:type="dxa"/>
            <w:tcBorders>
              <w:top w:val="nil"/>
              <w:left w:val="single" w:sz="4" w:space="0" w:color="auto"/>
              <w:bottom w:val="single" w:sz="4" w:space="0" w:color="auto"/>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Corresponding GPSI for input SUPI and Application Port ID.</w:t>
            </w:r>
          </w:p>
        </w:tc>
      </w:tr>
      <w:tr w:rsidR="00791585" w:rsidTr="0079158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For each DNN, indicates the SMF+PGW-C which support interworking with EPC.</w:t>
            </w:r>
          </w:p>
        </w:tc>
      </w:tr>
      <w:tr w:rsidR="00791585" w:rsidTr="0079158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宋体"/>
                <w:lang w:eastAsia="zh-CN"/>
              </w:rPr>
            </w:pPr>
            <w:r>
              <w:rPr>
                <w:rFonts w:eastAsia="宋体"/>
                <w:lang w:eastAsia="zh-CN"/>
              </w:rPr>
              <w:t>LCS privacy</w:t>
            </w:r>
          </w:p>
          <w:p w:rsidR="00791585" w:rsidRDefault="00791585">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Provides information for LCS privacy classes and Location Privacy Indication (LPI) as defined in clause 5.4.2 in TS 23.273 [51]</w:t>
            </w:r>
          </w:p>
        </w:tc>
      </w:tr>
      <w:tr w:rsidR="00791585" w:rsidTr="0079158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宋体"/>
                <w:lang w:eastAsia="zh-CN"/>
              </w:rPr>
            </w:pPr>
            <w:r>
              <w:rPr>
                <w:rFonts w:eastAsia="宋体"/>
                <w:lang w:eastAsia="zh-CN"/>
              </w:rPr>
              <w:t>LCS mobile origination</w:t>
            </w:r>
          </w:p>
          <w:p w:rsidR="00791585" w:rsidRDefault="00791585">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When present, indicates to the serving AMF which LCS mobile originated services are subscribed as defined in clause 7.1 in TS 23.273 [51].</w:t>
            </w:r>
          </w:p>
        </w:tc>
      </w:tr>
      <w:tr w:rsidR="00791585" w:rsidTr="0079158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91585" w:rsidTr="00791585">
        <w:trPr>
          <w:cantSplit/>
          <w:tblHeader/>
          <w:jc w:val="center"/>
        </w:trPr>
        <w:tc>
          <w:tcPr>
            <w:tcW w:w="1980" w:type="dxa"/>
            <w:tcBorders>
              <w:top w:val="single" w:sz="4" w:space="0" w:color="auto"/>
              <w:left w:val="single" w:sz="4" w:space="0" w:color="auto"/>
              <w:bottom w:val="nil"/>
              <w:right w:val="single" w:sz="4" w:space="0" w:color="auto"/>
            </w:tcBorders>
            <w:hideMark/>
          </w:tcPr>
          <w:p w:rsidR="00791585" w:rsidRDefault="00791585">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91585" w:rsidTr="00791585">
        <w:trPr>
          <w:cantSplit/>
          <w:tblHeader/>
          <w:jc w:val="center"/>
        </w:trPr>
        <w:tc>
          <w:tcPr>
            <w:tcW w:w="1980"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91585" w:rsidTr="00791585">
        <w:trPr>
          <w:cantSplit/>
          <w:tblHeader/>
          <w:jc w:val="center"/>
        </w:trPr>
        <w:tc>
          <w:tcPr>
            <w:tcW w:w="1980" w:type="dxa"/>
            <w:tcBorders>
              <w:top w:val="nil"/>
              <w:left w:val="single" w:sz="4" w:space="0" w:color="auto"/>
              <w:bottom w:val="single" w:sz="4" w:space="0" w:color="auto"/>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91585" w:rsidTr="00791585">
        <w:trPr>
          <w:cantSplit/>
          <w:tblHeader/>
          <w:jc w:val="center"/>
        </w:trPr>
        <w:tc>
          <w:tcPr>
            <w:tcW w:w="1980" w:type="dxa"/>
            <w:tcBorders>
              <w:top w:val="nil"/>
              <w:left w:val="single" w:sz="4" w:space="0" w:color="auto"/>
              <w:bottom w:val="nil"/>
              <w:right w:val="single" w:sz="4" w:space="0" w:color="auto"/>
            </w:tcBorders>
            <w:hideMark/>
          </w:tcPr>
          <w:p w:rsidR="00791585" w:rsidRDefault="0079158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791585" w:rsidTr="00791585">
        <w:trPr>
          <w:cantSplit/>
          <w:tblHeader/>
          <w:jc w:val="center"/>
        </w:trPr>
        <w:tc>
          <w:tcPr>
            <w:tcW w:w="1980" w:type="dxa"/>
            <w:tcBorders>
              <w:top w:val="nil"/>
              <w:left w:val="single" w:sz="4" w:space="0" w:color="auto"/>
              <w:bottom w:val="single" w:sz="4" w:space="0" w:color="auto"/>
              <w:right w:val="single" w:sz="4" w:space="0" w:color="auto"/>
            </w:tcBorders>
          </w:tcPr>
          <w:p w:rsidR="00791585" w:rsidRDefault="007915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791585" w:rsidTr="0079158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Indicates whether the UE is authorized to use Multicast MBS service.</w:t>
            </w:r>
          </w:p>
        </w:tc>
      </w:tr>
      <w:tr w:rsidR="00791585" w:rsidTr="00791585">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rsidR="00791585" w:rsidRDefault="00791585">
            <w:pPr>
              <w:pStyle w:val="TAN"/>
              <w:rPr>
                <w:rFonts w:eastAsia="Malgun Gothic"/>
              </w:rPr>
            </w:pPr>
            <w:r>
              <w:rPr>
                <w:rFonts w:eastAsia="Malgun Gothic"/>
              </w:rPr>
              <w:lastRenderedPageBreak/>
              <w:t>NOTE 1:</w:t>
            </w:r>
            <w:r>
              <w:rPr>
                <w:rFonts w:eastAsia="Malgun Gothic"/>
              </w:rPr>
              <w:tab/>
              <w:t>The Subscribed DNN list can include a wildcard DNN.</w:t>
            </w:r>
          </w:p>
          <w:p w:rsidR="00791585" w:rsidRDefault="00791585">
            <w:pPr>
              <w:pStyle w:val="TAN"/>
              <w:rPr>
                <w:rFonts w:eastAsia="Malgun Gothic"/>
              </w:rPr>
            </w:pPr>
            <w:r>
              <w:rPr>
                <w:rFonts w:eastAsia="Malgun Gothic"/>
              </w:rPr>
              <w:t>NOTE 2:</w:t>
            </w:r>
            <w:r>
              <w:rPr>
                <w:rFonts w:eastAsia="Malgun Gothic"/>
              </w:rPr>
              <w:tab/>
              <w:t>The default DNN shall not be a wildcard DNN.</w:t>
            </w:r>
          </w:p>
          <w:p w:rsidR="00791585" w:rsidRDefault="00791585">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791585" w:rsidRDefault="00791585">
            <w:pPr>
              <w:pStyle w:val="TAN"/>
              <w:rPr>
                <w:rFonts w:eastAsia="Malgun Gothic"/>
              </w:rPr>
            </w:pPr>
            <w:r>
              <w:rPr>
                <w:rFonts w:eastAsia="Malgun Gothic"/>
              </w:rPr>
              <w:t>NOTE 4:</w:t>
            </w:r>
            <w:r>
              <w:rPr>
                <w:rFonts w:eastAsia="Malgun Gothic"/>
              </w:rPr>
              <w:tab/>
              <w:t>Framed Route information and Framed Route(s) are defined in TS 23.501 [2].</w:t>
            </w:r>
          </w:p>
          <w:p w:rsidR="00791585" w:rsidRDefault="00791585">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rsidR="00791585" w:rsidRDefault="00791585">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791585" w:rsidRDefault="00791585">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791585" w:rsidRDefault="00791585">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rsidR="00791585" w:rsidRDefault="0079158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rsidR="00791585" w:rsidRDefault="0079158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rsidR="00791585" w:rsidRDefault="0079158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rsidR="00791585" w:rsidRDefault="0079158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tc>
      </w:tr>
    </w:tbl>
    <w:p w:rsidR="00791585" w:rsidRDefault="00791585" w:rsidP="00791585">
      <w:pPr>
        <w:pStyle w:val="FP"/>
        <w:rPr>
          <w:rFonts w:eastAsia="Malgun Gothic"/>
          <w:lang w:eastAsia="zh-CN"/>
        </w:rPr>
      </w:pPr>
    </w:p>
    <w:p w:rsidR="00791585" w:rsidRDefault="00791585" w:rsidP="00791585">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91585" w:rsidTr="0079158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791585" w:rsidRDefault="00791585">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H"/>
              <w:rPr>
                <w:rFonts w:eastAsia="Malgun Gothic"/>
              </w:rPr>
            </w:pPr>
            <w:r>
              <w:rPr>
                <w:rFonts w:eastAsia="Malgun Gothic"/>
              </w:rPr>
              <w:t>Description</w:t>
            </w:r>
          </w:p>
        </w:tc>
      </w:tr>
      <w:tr w:rsidR="00791585" w:rsidTr="00791585">
        <w:trPr>
          <w:cantSplit/>
          <w:jc w:val="center"/>
        </w:trPr>
        <w:tc>
          <w:tcPr>
            <w:tcW w:w="2297" w:type="dxa"/>
            <w:tcBorders>
              <w:top w:val="single" w:sz="4" w:space="0" w:color="auto"/>
              <w:left w:val="single" w:sz="4" w:space="0" w:color="auto"/>
              <w:bottom w:val="nil"/>
              <w:right w:val="single" w:sz="4" w:space="0" w:color="auto"/>
            </w:tcBorders>
          </w:tcPr>
          <w:p w:rsidR="00791585" w:rsidRDefault="00791585">
            <w:pPr>
              <w:pStyle w:val="TAL"/>
              <w:rPr>
                <w:lang w:eastAsia="zh-CN"/>
              </w:rPr>
            </w:pPr>
          </w:p>
          <w:p w:rsidR="00791585" w:rsidRDefault="00791585">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t>Identifies external group of UEs</w:t>
            </w:r>
            <w:r>
              <w:rPr>
                <w:lang w:eastAsia="zh-CN"/>
              </w:rPr>
              <w:t xml:space="preserve"> that the UE belongs to as defined in TS 23.682 [23].</w:t>
            </w:r>
          </w:p>
        </w:tc>
      </w:tr>
      <w:tr w:rsidR="00791585" w:rsidTr="00791585">
        <w:trPr>
          <w:cantSplit/>
          <w:jc w:val="center"/>
        </w:trPr>
        <w:tc>
          <w:tcPr>
            <w:tcW w:w="0" w:type="auto"/>
            <w:tcBorders>
              <w:top w:val="nil"/>
              <w:left w:val="single" w:sz="4" w:space="0" w:color="auto"/>
              <w:bottom w:val="nil"/>
              <w:right w:val="single" w:sz="4" w:space="0" w:color="auto"/>
            </w:tcBorders>
            <w:vAlign w:val="center"/>
            <w:hideMark/>
          </w:tcPr>
          <w:p w:rsidR="00791585" w:rsidRDefault="00791585">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t>Identifies internal group of UEs</w:t>
            </w:r>
            <w:r>
              <w:rPr>
                <w:lang w:eastAsia="zh-CN"/>
              </w:rPr>
              <w:t xml:space="preserve"> that the UE belongs to as defined in TS 23.501 [2].</w:t>
            </w:r>
          </w:p>
        </w:tc>
      </w:tr>
      <w:tr w:rsidR="00791585" w:rsidTr="00791585">
        <w:trPr>
          <w:cantSplit/>
          <w:jc w:val="center"/>
        </w:trPr>
        <w:tc>
          <w:tcPr>
            <w:tcW w:w="0" w:type="auto"/>
            <w:tcBorders>
              <w:top w:val="nil"/>
              <w:left w:val="single" w:sz="4" w:space="0" w:color="auto"/>
              <w:bottom w:val="single" w:sz="4" w:space="0" w:color="auto"/>
              <w:right w:val="single" w:sz="4" w:space="0" w:color="auto"/>
            </w:tcBorders>
            <w:vAlign w:val="center"/>
            <w:hideMark/>
          </w:tcPr>
          <w:p w:rsidR="00791585" w:rsidRDefault="00791585">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Corresponding SUPI list for input External Group Identifier.</w:t>
            </w:r>
          </w:p>
        </w:tc>
      </w:tr>
      <w:tr w:rsidR="00791585" w:rsidTr="00791585">
        <w:trPr>
          <w:cantSplit/>
          <w:jc w:val="center"/>
        </w:trPr>
        <w:tc>
          <w:tcPr>
            <w:tcW w:w="2297" w:type="dxa"/>
            <w:tcBorders>
              <w:top w:val="single" w:sz="4" w:space="0" w:color="auto"/>
              <w:left w:val="single" w:sz="4" w:space="0" w:color="auto"/>
              <w:bottom w:val="nil"/>
              <w:right w:val="single" w:sz="4" w:space="0" w:color="auto"/>
            </w:tcBorders>
          </w:tcPr>
          <w:p w:rsidR="00791585" w:rsidRDefault="00791585">
            <w:pPr>
              <w:pStyle w:val="TAL"/>
              <w:rPr>
                <w:lang w:eastAsia="zh-CN"/>
              </w:rPr>
            </w:pPr>
          </w:p>
          <w:p w:rsidR="00791585" w:rsidRDefault="00791585">
            <w:pPr>
              <w:pStyle w:val="TAL"/>
              <w:rPr>
                <w:lang w:eastAsia="zh-CN"/>
              </w:rPr>
            </w:pPr>
            <w:r>
              <w:rPr>
                <w:lang w:eastAsia="zh-CN"/>
              </w:rPr>
              <w:t>Group Data</w:t>
            </w:r>
          </w:p>
          <w:p w:rsidR="00791585" w:rsidRDefault="0079158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Internal identifiers of the group of UEs that the Group Data belongs to.</w:t>
            </w:r>
          </w:p>
        </w:tc>
      </w:tr>
      <w:tr w:rsidR="00791585" w:rsidTr="00791585">
        <w:trPr>
          <w:cantSplit/>
          <w:jc w:val="center"/>
        </w:trPr>
        <w:tc>
          <w:tcPr>
            <w:tcW w:w="0" w:type="auto"/>
            <w:tcBorders>
              <w:top w:val="nil"/>
              <w:left w:val="single" w:sz="4" w:space="0" w:color="auto"/>
              <w:bottom w:val="single" w:sz="4" w:space="0" w:color="auto"/>
              <w:right w:val="single" w:sz="4" w:space="0" w:color="auto"/>
            </w:tcBorders>
            <w:vAlign w:val="center"/>
          </w:tcPr>
          <w:p w:rsidR="00791585" w:rsidRDefault="007915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This optional information is used in the case of 5G VN related groups. It is defined in clause 4.15.6.3b.</w:t>
            </w:r>
          </w:p>
        </w:tc>
      </w:tr>
      <w:tr w:rsidR="00791585" w:rsidTr="0079158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rsidR="00791585" w:rsidRDefault="0079158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791585" w:rsidRDefault="00791585" w:rsidP="00791585">
      <w:pPr>
        <w:pStyle w:val="FP"/>
        <w:rPr>
          <w:rFonts w:eastAsia="Malgun Gothic"/>
        </w:rPr>
      </w:pPr>
    </w:p>
    <w:p w:rsidR="00791585" w:rsidRDefault="00791585" w:rsidP="00791585">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791585" w:rsidRDefault="00791585" w:rsidP="00791585">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91585" w:rsidTr="00791585">
        <w:tc>
          <w:tcPr>
            <w:tcW w:w="3827" w:type="dxa"/>
            <w:tcBorders>
              <w:top w:val="single" w:sz="4" w:space="0" w:color="auto"/>
              <w:left w:val="single" w:sz="4" w:space="0" w:color="auto"/>
              <w:bottom w:val="single" w:sz="4" w:space="0" w:color="auto"/>
              <w:right w:val="single" w:sz="4" w:space="0" w:color="auto"/>
            </w:tcBorders>
            <w:hideMark/>
          </w:tcPr>
          <w:p w:rsidR="00791585" w:rsidRDefault="00791585">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H"/>
              <w:rPr>
                <w:lang w:eastAsia="zh-CN"/>
              </w:rPr>
            </w:pPr>
            <w:r>
              <w:rPr>
                <w:lang w:eastAsia="zh-CN"/>
              </w:rPr>
              <w:t>Data Sub Key</w:t>
            </w:r>
          </w:p>
        </w:tc>
      </w:tr>
      <w:tr w:rsidR="00791585" w:rsidTr="00791585">
        <w:tc>
          <w:tcPr>
            <w:tcW w:w="3827"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791585" w:rsidTr="00791585">
        <w:tc>
          <w:tcPr>
            <w:tcW w:w="3827" w:type="dxa"/>
            <w:tcBorders>
              <w:top w:val="single" w:sz="4" w:space="0" w:color="auto"/>
              <w:left w:val="single" w:sz="4" w:space="0" w:color="auto"/>
              <w:bottom w:val="single" w:sz="4" w:space="0" w:color="auto"/>
              <w:right w:val="single" w:sz="4" w:space="0" w:color="auto"/>
            </w:tcBorders>
            <w:vAlign w:val="center"/>
            <w:hideMark/>
          </w:tcPr>
          <w:p w:rsidR="00791585" w:rsidRDefault="00791585">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Serving PLMN ID and optionally NID</w:t>
            </w:r>
          </w:p>
        </w:tc>
      </w:tr>
      <w:tr w:rsidR="00791585" w:rsidTr="00791585">
        <w:tc>
          <w:tcPr>
            <w:tcW w:w="3827" w:type="dxa"/>
            <w:tcBorders>
              <w:top w:val="single" w:sz="4" w:space="0" w:color="auto"/>
              <w:left w:val="single" w:sz="4" w:space="0" w:color="auto"/>
              <w:bottom w:val="single" w:sz="4" w:space="0" w:color="auto"/>
              <w:right w:val="single" w:sz="4" w:space="0" w:color="auto"/>
            </w:tcBorders>
            <w:vAlign w:val="center"/>
            <w:hideMark/>
          </w:tcPr>
          <w:p w:rsidR="00791585" w:rsidRDefault="00791585">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S-NSSAI</w:t>
            </w:r>
          </w:p>
        </w:tc>
      </w:tr>
      <w:tr w:rsidR="00791585" w:rsidTr="00791585">
        <w:tc>
          <w:tcPr>
            <w:tcW w:w="3827" w:type="dxa"/>
            <w:tcBorders>
              <w:top w:val="single" w:sz="4" w:space="0" w:color="auto"/>
              <w:left w:val="single" w:sz="4" w:space="0" w:color="auto"/>
              <w:bottom w:val="single" w:sz="4" w:space="0" w:color="auto"/>
              <w:right w:val="single" w:sz="4" w:space="0" w:color="auto"/>
            </w:tcBorders>
            <w:hideMark/>
          </w:tcPr>
          <w:p w:rsidR="00791585" w:rsidRDefault="00791585">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Serving PLMN ID and optionally NID</w:t>
            </w:r>
          </w:p>
        </w:tc>
      </w:tr>
      <w:tr w:rsidR="00791585" w:rsidTr="00791585">
        <w:tc>
          <w:tcPr>
            <w:tcW w:w="3827" w:type="dxa"/>
            <w:tcBorders>
              <w:top w:val="single" w:sz="4" w:space="0" w:color="auto"/>
              <w:left w:val="single" w:sz="4" w:space="0" w:color="auto"/>
              <w:bottom w:val="single" w:sz="4" w:space="0" w:color="auto"/>
              <w:right w:val="single" w:sz="4" w:space="0" w:color="auto"/>
            </w:tcBorders>
            <w:vAlign w:val="center"/>
            <w:hideMark/>
          </w:tcPr>
          <w:p w:rsidR="00791585" w:rsidRDefault="00791585">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Serving PLMN ID and optionally NID</w:t>
            </w:r>
          </w:p>
        </w:tc>
      </w:tr>
      <w:tr w:rsidR="00791585" w:rsidTr="00791585">
        <w:tc>
          <w:tcPr>
            <w:tcW w:w="3827" w:type="dxa"/>
            <w:tcBorders>
              <w:top w:val="single" w:sz="4" w:space="0" w:color="auto"/>
              <w:left w:val="single" w:sz="4" w:space="0" w:color="auto"/>
              <w:bottom w:val="single" w:sz="4" w:space="0" w:color="auto"/>
              <w:right w:val="single" w:sz="4" w:space="0" w:color="auto"/>
            </w:tcBorders>
            <w:vAlign w:val="center"/>
            <w:hideMark/>
          </w:tcPr>
          <w:p w:rsidR="00791585" w:rsidRDefault="00791585">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w:t>
            </w:r>
          </w:p>
        </w:tc>
      </w:tr>
      <w:tr w:rsidR="00791585" w:rsidTr="00791585">
        <w:tc>
          <w:tcPr>
            <w:tcW w:w="3827" w:type="dxa"/>
            <w:tcBorders>
              <w:top w:val="single" w:sz="4" w:space="0" w:color="auto"/>
              <w:left w:val="single" w:sz="4" w:space="0" w:color="auto"/>
              <w:bottom w:val="nil"/>
              <w:right w:val="single" w:sz="4" w:space="0" w:color="auto"/>
            </w:tcBorders>
            <w:vAlign w:val="center"/>
            <w:hideMark/>
          </w:tcPr>
          <w:p w:rsidR="00791585" w:rsidRDefault="00791585">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rsidR="00791585" w:rsidRDefault="0079158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S-NSSAI</w:t>
            </w:r>
          </w:p>
        </w:tc>
      </w:tr>
      <w:tr w:rsidR="00791585" w:rsidTr="00791585">
        <w:tc>
          <w:tcPr>
            <w:tcW w:w="3827" w:type="dxa"/>
            <w:tcBorders>
              <w:top w:val="nil"/>
              <w:left w:val="single" w:sz="4" w:space="0" w:color="auto"/>
              <w:bottom w:val="nil"/>
              <w:right w:val="single" w:sz="4" w:space="0" w:color="auto"/>
            </w:tcBorders>
            <w:vAlign w:val="center"/>
          </w:tcPr>
          <w:p w:rsidR="00791585" w:rsidRDefault="00791585">
            <w:pPr>
              <w:pStyle w:val="TAL"/>
            </w:pPr>
          </w:p>
        </w:tc>
        <w:tc>
          <w:tcPr>
            <w:tcW w:w="1218" w:type="dxa"/>
            <w:tcBorders>
              <w:top w:val="nil"/>
              <w:left w:val="single" w:sz="4" w:space="0" w:color="auto"/>
              <w:bottom w:val="nil"/>
              <w:right w:val="single" w:sz="4" w:space="0" w:color="auto"/>
            </w:tcBorders>
          </w:tcPr>
          <w:p w:rsidR="00791585" w:rsidRDefault="00791585">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DNN</w:t>
            </w:r>
          </w:p>
        </w:tc>
      </w:tr>
      <w:tr w:rsidR="00791585" w:rsidTr="00791585">
        <w:tc>
          <w:tcPr>
            <w:tcW w:w="3827" w:type="dxa"/>
            <w:tcBorders>
              <w:top w:val="nil"/>
              <w:left w:val="single" w:sz="4" w:space="0" w:color="auto"/>
              <w:bottom w:val="single" w:sz="4" w:space="0" w:color="auto"/>
              <w:right w:val="single" w:sz="4" w:space="0" w:color="auto"/>
            </w:tcBorders>
            <w:vAlign w:val="center"/>
          </w:tcPr>
          <w:p w:rsidR="00791585" w:rsidRDefault="00791585">
            <w:pPr>
              <w:pStyle w:val="TAL"/>
            </w:pPr>
          </w:p>
        </w:tc>
        <w:tc>
          <w:tcPr>
            <w:tcW w:w="1218" w:type="dxa"/>
            <w:tcBorders>
              <w:top w:val="nil"/>
              <w:left w:val="single" w:sz="4" w:space="0" w:color="auto"/>
              <w:bottom w:val="single" w:sz="4" w:space="0" w:color="auto"/>
              <w:right w:val="single" w:sz="4" w:space="0" w:color="auto"/>
            </w:tcBorders>
          </w:tcPr>
          <w:p w:rsidR="00791585" w:rsidRDefault="00791585">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Serving PLMN ID and optionally NID</w:t>
            </w:r>
          </w:p>
        </w:tc>
      </w:tr>
      <w:tr w:rsidR="00791585" w:rsidTr="00791585">
        <w:tc>
          <w:tcPr>
            <w:tcW w:w="3827" w:type="dxa"/>
            <w:tcBorders>
              <w:top w:val="single" w:sz="4" w:space="0" w:color="auto"/>
              <w:left w:val="single" w:sz="4" w:space="0" w:color="auto"/>
              <w:bottom w:val="nil"/>
              <w:right w:val="single" w:sz="4" w:space="0" w:color="auto"/>
            </w:tcBorders>
            <w:vAlign w:val="center"/>
            <w:hideMark/>
          </w:tcPr>
          <w:p w:rsidR="00791585" w:rsidRDefault="00791585">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w:t>
            </w:r>
          </w:p>
        </w:tc>
      </w:tr>
      <w:tr w:rsidR="00791585" w:rsidTr="00791585">
        <w:tc>
          <w:tcPr>
            <w:tcW w:w="3827" w:type="dxa"/>
            <w:tcBorders>
              <w:top w:val="nil"/>
              <w:left w:val="single" w:sz="4" w:space="0" w:color="auto"/>
              <w:bottom w:val="single" w:sz="4" w:space="0" w:color="auto"/>
              <w:right w:val="single" w:sz="4" w:space="0" w:color="auto"/>
            </w:tcBorders>
            <w:vAlign w:val="center"/>
          </w:tcPr>
          <w:p w:rsidR="00791585" w:rsidRDefault="00791585">
            <w:pPr>
              <w:pStyle w:val="TAL"/>
            </w:pP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Application Port ID</w:t>
            </w:r>
          </w:p>
        </w:tc>
      </w:tr>
      <w:tr w:rsidR="00791585" w:rsidTr="00791585">
        <w:tc>
          <w:tcPr>
            <w:tcW w:w="3827" w:type="dxa"/>
            <w:tcBorders>
              <w:top w:val="single" w:sz="4" w:space="0" w:color="auto"/>
              <w:left w:val="single" w:sz="4" w:space="0" w:color="auto"/>
              <w:bottom w:val="single" w:sz="4" w:space="0" w:color="auto"/>
              <w:right w:val="single" w:sz="4" w:space="0" w:color="auto"/>
            </w:tcBorders>
            <w:vAlign w:val="center"/>
            <w:hideMark/>
          </w:tcPr>
          <w:p w:rsidR="00791585" w:rsidRDefault="00791585">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Serving PLMN ID and optionally NID</w:t>
            </w:r>
          </w:p>
        </w:tc>
      </w:tr>
      <w:tr w:rsidR="00791585" w:rsidTr="00791585">
        <w:tc>
          <w:tcPr>
            <w:tcW w:w="3827" w:type="dxa"/>
            <w:tcBorders>
              <w:top w:val="single" w:sz="4" w:space="0" w:color="auto"/>
              <w:left w:val="single" w:sz="4" w:space="0" w:color="auto"/>
              <w:bottom w:val="single" w:sz="4" w:space="0" w:color="auto"/>
              <w:right w:val="single" w:sz="4" w:space="0" w:color="auto"/>
            </w:tcBorders>
            <w:vAlign w:val="center"/>
            <w:hideMark/>
          </w:tcPr>
          <w:p w:rsidR="00791585" w:rsidRDefault="00791585">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DNN</w:t>
            </w:r>
          </w:p>
        </w:tc>
      </w:tr>
      <w:tr w:rsidR="00791585" w:rsidTr="00791585">
        <w:tc>
          <w:tcPr>
            <w:tcW w:w="3827" w:type="dxa"/>
            <w:tcBorders>
              <w:top w:val="single" w:sz="4" w:space="0" w:color="auto"/>
              <w:left w:val="single" w:sz="4" w:space="0" w:color="auto"/>
              <w:bottom w:val="single" w:sz="4" w:space="0" w:color="auto"/>
              <w:right w:val="single" w:sz="4" w:space="0" w:color="auto"/>
            </w:tcBorders>
            <w:vAlign w:val="center"/>
            <w:hideMark/>
          </w:tcPr>
          <w:p w:rsidR="00791585" w:rsidRDefault="00791585">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w:t>
            </w:r>
          </w:p>
        </w:tc>
      </w:tr>
      <w:tr w:rsidR="00791585" w:rsidTr="00791585">
        <w:tc>
          <w:tcPr>
            <w:tcW w:w="3827" w:type="dxa"/>
            <w:tcBorders>
              <w:top w:val="single" w:sz="4" w:space="0" w:color="auto"/>
              <w:left w:val="single" w:sz="4" w:space="0" w:color="auto"/>
              <w:bottom w:val="single" w:sz="4" w:space="0" w:color="auto"/>
              <w:right w:val="single" w:sz="4" w:space="0" w:color="auto"/>
            </w:tcBorders>
            <w:vAlign w:val="center"/>
            <w:hideMark/>
          </w:tcPr>
          <w:p w:rsidR="00791585" w:rsidRDefault="00791585">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w:t>
            </w:r>
          </w:p>
        </w:tc>
      </w:tr>
      <w:tr w:rsidR="00791585" w:rsidTr="00791585">
        <w:tc>
          <w:tcPr>
            <w:tcW w:w="3827" w:type="dxa"/>
            <w:tcBorders>
              <w:top w:val="single" w:sz="4" w:space="0" w:color="auto"/>
              <w:left w:val="single" w:sz="4" w:space="0" w:color="auto"/>
              <w:bottom w:val="single" w:sz="4" w:space="0" w:color="auto"/>
              <w:right w:val="single" w:sz="4" w:space="0" w:color="auto"/>
            </w:tcBorders>
            <w:vAlign w:val="center"/>
            <w:hideMark/>
          </w:tcPr>
          <w:p w:rsidR="00791585" w:rsidRDefault="00791585">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w:t>
            </w:r>
          </w:p>
        </w:tc>
      </w:tr>
      <w:tr w:rsidR="00791585" w:rsidTr="00791585">
        <w:tc>
          <w:tcPr>
            <w:tcW w:w="3827" w:type="dxa"/>
            <w:tcBorders>
              <w:top w:val="single" w:sz="4" w:space="0" w:color="auto"/>
              <w:left w:val="single" w:sz="4" w:space="0" w:color="auto"/>
              <w:bottom w:val="single" w:sz="4" w:space="0" w:color="auto"/>
              <w:right w:val="single" w:sz="4" w:space="0" w:color="auto"/>
            </w:tcBorders>
            <w:vAlign w:val="center"/>
            <w:hideMark/>
          </w:tcPr>
          <w:p w:rsidR="00791585" w:rsidRDefault="00791585">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w:t>
            </w:r>
          </w:p>
        </w:tc>
      </w:tr>
      <w:tr w:rsidR="00791585" w:rsidTr="00791585">
        <w:tc>
          <w:tcPr>
            <w:tcW w:w="3827" w:type="dxa"/>
            <w:tcBorders>
              <w:top w:val="single" w:sz="4" w:space="0" w:color="auto"/>
              <w:left w:val="single" w:sz="4" w:space="0" w:color="auto"/>
              <w:bottom w:val="single" w:sz="4" w:space="0" w:color="auto"/>
              <w:right w:val="single" w:sz="4" w:space="0" w:color="auto"/>
            </w:tcBorders>
            <w:vAlign w:val="center"/>
            <w:hideMark/>
          </w:tcPr>
          <w:p w:rsidR="00791585" w:rsidRDefault="00791585">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w:t>
            </w:r>
          </w:p>
        </w:tc>
      </w:tr>
      <w:tr w:rsidR="00791585" w:rsidTr="00791585">
        <w:tc>
          <w:tcPr>
            <w:tcW w:w="3827" w:type="dxa"/>
            <w:tcBorders>
              <w:top w:val="single" w:sz="4" w:space="0" w:color="auto"/>
              <w:left w:val="single" w:sz="4" w:space="0" w:color="auto"/>
              <w:bottom w:val="single" w:sz="4" w:space="0" w:color="auto"/>
              <w:right w:val="single" w:sz="4" w:space="0" w:color="auto"/>
            </w:tcBorders>
            <w:vAlign w:val="center"/>
            <w:hideMark/>
          </w:tcPr>
          <w:p w:rsidR="00791585" w:rsidRDefault="00791585">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rFonts w:eastAsia="Malgun Gothic"/>
              </w:rPr>
            </w:pPr>
            <w:r>
              <w:rPr>
                <w:rFonts w:eastAsia="Malgun Gothic"/>
              </w:rPr>
              <w:t>-</w:t>
            </w:r>
          </w:p>
        </w:tc>
      </w:tr>
    </w:tbl>
    <w:p w:rsidR="00791585" w:rsidRDefault="00791585" w:rsidP="00791585">
      <w:pPr>
        <w:pStyle w:val="FP"/>
        <w:rPr>
          <w:lang w:eastAsia="zh-CN"/>
        </w:rPr>
      </w:pPr>
    </w:p>
    <w:p w:rsidR="00791585" w:rsidRDefault="00791585" w:rsidP="00791585">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91585" w:rsidTr="00791585">
        <w:tc>
          <w:tcPr>
            <w:tcW w:w="3827" w:type="dxa"/>
            <w:tcBorders>
              <w:top w:val="single" w:sz="4" w:space="0" w:color="auto"/>
              <w:left w:val="single" w:sz="4" w:space="0" w:color="auto"/>
              <w:bottom w:val="single" w:sz="4" w:space="0" w:color="auto"/>
              <w:right w:val="single" w:sz="4" w:space="0" w:color="auto"/>
            </w:tcBorders>
            <w:hideMark/>
          </w:tcPr>
          <w:p w:rsidR="00791585" w:rsidRDefault="00791585">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H"/>
              <w:rPr>
                <w:lang w:eastAsia="zh-CN"/>
              </w:rPr>
            </w:pPr>
            <w:r>
              <w:rPr>
                <w:lang w:eastAsia="zh-CN"/>
              </w:rPr>
              <w:t>Data Sub Key</w:t>
            </w:r>
          </w:p>
        </w:tc>
      </w:tr>
      <w:tr w:rsidR="00791585" w:rsidTr="00791585">
        <w:tc>
          <w:tcPr>
            <w:tcW w:w="3827" w:type="dxa"/>
            <w:tcBorders>
              <w:top w:val="single" w:sz="4" w:space="0" w:color="auto"/>
              <w:left w:val="single" w:sz="4" w:space="0" w:color="auto"/>
              <w:bottom w:val="nil"/>
              <w:right w:val="single" w:sz="4" w:space="0" w:color="auto"/>
            </w:tcBorders>
            <w:vAlign w:val="center"/>
            <w:hideMark/>
          </w:tcPr>
          <w:p w:rsidR="00791585" w:rsidRDefault="00791585">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lang w:eastAsia="zh-CN"/>
              </w:rPr>
            </w:pPr>
            <w:r>
              <w:rPr>
                <w:lang w:eastAsia="zh-CN"/>
              </w:rPr>
              <w:t>-</w:t>
            </w:r>
          </w:p>
        </w:tc>
      </w:tr>
      <w:tr w:rsidR="00791585" w:rsidTr="00791585">
        <w:tc>
          <w:tcPr>
            <w:tcW w:w="3827" w:type="dxa"/>
            <w:tcBorders>
              <w:top w:val="nil"/>
              <w:left w:val="single" w:sz="4" w:space="0" w:color="auto"/>
              <w:bottom w:val="single" w:sz="4" w:space="0" w:color="auto"/>
              <w:right w:val="single" w:sz="4" w:space="0" w:color="auto"/>
            </w:tcBorders>
            <w:vAlign w:val="center"/>
          </w:tcPr>
          <w:p w:rsidR="00791585" w:rsidRDefault="00791585">
            <w:pPr>
              <w:pStyle w:val="TAL"/>
            </w:pP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lang w:eastAsia="zh-CN"/>
              </w:rPr>
            </w:pPr>
            <w:r>
              <w:rPr>
                <w:lang w:eastAsia="zh-CN"/>
              </w:rPr>
              <w:t>-</w:t>
            </w:r>
          </w:p>
        </w:tc>
      </w:tr>
      <w:tr w:rsidR="00791585" w:rsidTr="00791585">
        <w:tc>
          <w:tcPr>
            <w:tcW w:w="3827" w:type="dxa"/>
            <w:tcBorders>
              <w:top w:val="single" w:sz="4" w:space="0" w:color="auto"/>
              <w:left w:val="single" w:sz="4" w:space="0" w:color="auto"/>
              <w:bottom w:val="single" w:sz="4" w:space="0" w:color="auto"/>
              <w:right w:val="single" w:sz="4" w:space="0" w:color="auto"/>
            </w:tcBorders>
            <w:vAlign w:val="center"/>
            <w:hideMark/>
          </w:tcPr>
          <w:p w:rsidR="00791585" w:rsidRDefault="00791585">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791585" w:rsidRDefault="00791585">
            <w:pPr>
              <w:pStyle w:val="TAL"/>
              <w:rPr>
                <w:lang w:eastAsia="zh-CN"/>
              </w:rPr>
            </w:pPr>
            <w:r>
              <w:rPr>
                <w:lang w:eastAsia="zh-CN"/>
              </w:rPr>
              <w:t>-</w:t>
            </w:r>
          </w:p>
        </w:tc>
      </w:tr>
    </w:tbl>
    <w:p w:rsidR="00791585" w:rsidRDefault="00791585" w:rsidP="00791585">
      <w:pPr>
        <w:pStyle w:val="FP"/>
        <w:rPr>
          <w:lang w:eastAsia="zh-CN"/>
        </w:rPr>
      </w:pPr>
    </w:p>
    <w:p w:rsidR="00A263D1" w:rsidRPr="0042466D" w:rsidRDefault="00791585" w:rsidP="0053580F">
      <w:pPr>
        <w:rPr>
          <w:rFonts w:ascii="Arial" w:hAnsi="Arial" w:cs="Arial"/>
          <w:color w:val="FF0000"/>
          <w:sz w:val="28"/>
          <w:szCs w:val="28"/>
          <w:lang w:val="en-US"/>
        </w:rPr>
      </w:pPr>
      <w:r>
        <w:rPr>
          <w:lang w:eastAsia="zh-CN"/>
        </w:rPr>
        <w:t>Wireline access specific subscription data parameters are specified in TS 23.316 [53].</w:t>
      </w:r>
      <w:r>
        <w:rPr>
          <w:rFonts w:eastAsia="Malgun Gothic"/>
        </w:rPr>
        <w:t xml:space="preserve"> </w:t>
      </w:r>
      <w:bookmarkEnd w:id="28"/>
      <w:bookmarkEnd w:id="29"/>
      <w:bookmarkEnd w:id="30"/>
      <w:bookmarkEnd w:id="31"/>
      <w:bookmarkEnd w:id="32"/>
      <w:bookmarkEnd w:id="33"/>
      <w:bookmarkEnd w:id="34"/>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7D6" w:rsidRDefault="004347D6">
      <w:r>
        <w:separator/>
      </w:r>
    </w:p>
  </w:endnote>
  <w:endnote w:type="continuationSeparator" w:id="0">
    <w:p w:rsidR="004347D6" w:rsidRDefault="0043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7D6" w:rsidRDefault="004347D6">
      <w:r>
        <w:separator/>
      </w:r>
    </w:p>
  </w:footnote>
  <w:footnote w:type="continuationSeparator" w:id="0">
    <w:p w:rsidR="004347D6" w:rsidRDefault="00434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A5B6E"/>
    <w:rsid w:val="002B5741"/>
    <w:rsid w:val="0030271E"/>
    <w:rsid w:val="00305409"/>
    <w:rsid w:val="00312741"/>
    <w:rsid w:val="00314FFF"/>
    <w:rsid w:val="00330D20"/>
    <w:rsid w:val="0034191E"/>
    <w:rsid w:val="00341B68"/>
    <w:rsid w:val="003609EF"/>
    <w:rsid w:val="0036231A"/>
    <w:rsid w:val="00374DD4"/>
    <w:rsid w:val="003808E9"/>
    <w:rsid w:val="00385A11"/>
    <w:rsid w:val="00386DEC"/>
    <w:rsid w:val="00392484"/>
    <w:rsid w:val="003968D8"/>
    <w:rsid w:val="003B40E1"/>
    <w:rsid w:val="003E1A36"/>
    <w:rsid w:val="003E7D28"/>
    <w:rsid w:val="00406A3B"/>
    <w:rsid w:val="0040761D"/>
    <w:rsid w:val="00410371"/>
    <w:rsid w:val="00415F57"/>
    <w:rsid w:val="004242F1"/>
    <w:rsid w:val="004347D6"/>
    <w:rsid w:val="004401BC"/>
    <w:rsid w:val="00452FDC"/>
    <w:rsid w:val="004626F8"/>
    <w:rsid w:val="0047578B"/>
    <w:rsid w:val="004758BB"/>
    <w:rsid w:val="004A1F9C"/>
    <w:rsid w:val="004A6302"/>
    <w:rsid w:val="004B75B7"/>
    <w:rsid w:val="004D5CC3"/>
    <w:rsid w:val="00504314"/>
    <w:rsid w:val="00514818"/>
    <w:rsid w:val="0051580D"/>
    <w:rsid w:val="00524056"/>
    <w:rsid w:val="0053580F"/>
    <w:rsid w:val="00537FB7"/>
    <w:rsid w:val="00547111"/>
    <w:rsid w:val="00592D74"/>
    <w:rsid w:val="005D6F64"/>
    <w:rsid w:val="005E2C44"/>
    <w:rsid w:val="005E65C0"/>
    <w:rsid w:val="005F437D"/>
    <w:rsid w:val="00614E12"/>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1585"/>
    <w:rsid w:val="00792342"/>
    <w:rsid w:val="00793EC4"/>
    <w:rsid w:val="007977A8"/>
    <w:rsid w:val="007B512A"/>
    <w:rsid w:val="007C2097"/>
    <w:rsid w:val="007D5352"/>
    <w:rsid w:val="007D6A07"/>
    <w:rsid w:val="007F2012"/>
    <w:rsid w:val="007F7259"/>
    <w:rsid w:val="008040A8"/>
    <w:rsid w:val="008279FA"/>
    <w:rsid w:val="00844780"/>
    <w:rsid w:val="008626E7"/>
    <w:rsid w:val="00870EE7"/>
    <w:rsid w:val="0087737C"/>
    <w:rsid w:val="00881457"/>
    <w:rsid w:val="008863B9"/>
    <w:rsid w:val="00896CFA"/>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0064"/>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1773B"/>
    <w:rsid w:val="00C33231"/>
    <w:rsid w:val="00C605B9"/>
    <w:rsid w:val="00C60B82"/>
    <w:rsid w:val="00C66BA2"/>
    <w:rsid w:val="00C743CA"/>
    <w:rsid w:val="00C94792"/>
    <w:rsid w:val="00C95985"/>
    <w:rsid w:val="00CA4EEF"/>
    <w:rsid w:val="00CC5026"/>
    <w:rsid w:val="00CC68D0"/>
    <w:rsid w:val="00CD10D0"/>
    <w:rsid w:val="00CD648C"/>
    <w:rsid w:val="00D01F77"/>
    <w:rsid w:val="00D03F9A"/>
    <w:rsid w:val="00D06D51"/>
    <w:rsid w:val="00D14B77"/>
    <w:rsid w:val="00D15E43"/>
    <w:rsid w:val="00D23592"/>
    <w:rsid w:val="00D24991"/>
    <w:rsid w:val="00D34D8A"/>
    <w:rsid w:val="00D50255"/>
    <w:rsid w:val="00D66520"/>
    <w:rsid w:val="00D66AE8"/>
    <w:rsid w:val="00D75E6A"/>
    <w:rsid w:val="00D92747"/>
    <w:rsid w:val="00DC216E"/>
    <w:rsid w:val="00DC58AF"/>
    <w:rsid w:val="00DC6555"/>
    <w:rsid w:val="00DD2CF6"/>
    <w:rsid w:val="00DE34CF"/>
    <w:rsid w:val="00DE7A37"/>
    <w:rsid w:val="00DF53A0"/>
    <w:rsid w:val="00E13F3D"/>
    <w:rsid w:val="00E23990"/>
    <w:rsid w:val="00E32339"/>
    <w:rsid w:val="00E34898"/>
    <w:rsid w:val="00E533D9"/>
    <w:rsid w:val="00E61B6E"/>
    <w:rsid w:val="00E82D4D"/>
    <w:rsid w:val="00EA154E"/>
    <w:rsid w:val="00EB09B7"/>
    <w:rsid w:val="00EE7D7C"/>
    <w:rsid w:val="00F25889"/>
    <w:rsid w:val="00F25D98"/>
    <w:rsid w:val="00F300FB"/>
    <w:rsid w:val="00F41DF3"/>
    <w:rsid w:val="00F541A7"/>
    <w:rsid w:val="00F8390E"/>
    <w:rsid w:val="00F93A68"/>
    <w:rsid w:val="00FA343A"/>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06A3B"/>
    <w:rPr>
      <w:rFonts w:ascii="Times New Roman" w:hAnsi="Times New Roman"/>
      <w:lang w:val="en-GB" w:eastAsia="en-US"/>
    </w:rPr>
  </w:style>
  <w:style w:type="character" w:customStyle="1" w:styleId="THChar">
    <w:name w:val="TH Char"/>
    <w:link w:val="TH"/>
    <w:qFormat/>
    <w:locked/>
    <w:rsid w:val="00406A3B"/>
    <w:rPr>
      <w:rFonts w:ascii="Arial" w:hAnsi="Arial"/>
      <w:b/>
      <w:lang w:val="en-GB" w:eastAsia="en-US"/>
    </w:rPr>
  </w:style>
  <w:style w:type="character" w:customStyle="1" w:styleId="TFChar">
    <w:name w:val="TF Char"/>
    <w:link w:val="TF"/>
    <w:locked/>
    <w:rsid w:val="00406A3B"/>
    <w:rPr>
      <w:rFonts w:ascii="Arial" w:hAnsi="Arial"/>
      <w:b/>
      <w:lang w:val="en-GB" w:eastAsia="en-US"/>
    </w:rPr>
  </w:style>
  <w:style w:type="character" w:customStyle="1" w:styleId="B2Char">
    <w:name w:val="B2 Char"/>
    <w:link w:val="B2"/>
    <w:locked/>
    <w:rsid w:val="00406A3B"/>
    <w:rPr>
      <w:rFonts w:ascii="Times New Roman" w:hAnsi="Times New Roman"/>
      <w:lang w:val="en-GB" w:eastAsia="en-US"/>
    </w:rPr>
  </w:style>
  <w:style w:type="character" w:customStyle="1" w:styleId="TALChar">
    <w:name w:val="TAL Char"/>
    <w:link w:val="TAL"/>
    <w:locked/>
    <w:rsid w:val="00406A3B"/>
    <w:rPr>
      <w:rFonts w:ascii="Arial" w:hAnsi="Arial"/>
      <w:sz w:val="18"/>
      <w:lang w:val="en-GB" w:eastAsia="en-US"/>
    </w:rPr>
  </w:style>
  <w:style w:type="character" w:customStyle="1" w:styleId="TAHCar">
    <w:name w:val="TAH Car"/>
    <w:link w:val="TAH"/>
    <w:locked/>
    <w:rsid w:val="00406A3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067524">
      <w:bodyDiv w:val="1"/>
      <w:marLeft w:val="0"/>
      <w:marRight w:val="0"/>
      <w:marTop w:val="0"/>
      <w:marBottom w:val="0"/>
      <w:divBdr>
        <w:top w:val="none" w:sz="0" w:space="0" w:color="auto"/>
        <w:left w:val="none" w:sz="0" w:space="0" w:color="auto"/>
        <w:bottom w:val="none" w:sz="0" w:space="0" w:color="auto"/>
        <w:right w:val="none" w:sz="0" w:space="0" w:color="auto"/>
      </w:divBdr>
    </w:div>
    <w:div w:id="1083451227">
      <w:bodyDiv w:val="1"/>
      <w:marLeft w:val="0"/>
      <w:marRight w:val="0"/>
      <w:marTop w:val="0"/>
      <w:marBottom w:val="0"/>
      <w:divBdr>
        <w:top w:val="none" w:sz="0" w:space="0" w:color="auto"/>
        <w:left w:val="none" w:sz="0" w:space="0" w:color="auto"/>
        <w:bottom w:val="none" w:sz="0" w:space="0" w:color="auto"/>
        <w:right w:val="none" w:sz="0" w:space="0" w:color="auto"/>
      </w:divBdr>
    </w:div>
    <w:div w:id="1702167041">
      <w:bodyDiv w:val="1"/>
      <w:marLeft w:val="0"/>
      <w:marRight w:val="0"/>
      <w:marTop w:val="0"/>
      <w:marBottom w:val="0"/>
      <w:divBdr>
        <w:top w:val="none" w:sz="0" w:space="0" w:color="auto"/>
        <w:left w:val="none" w:sz="0" w:space="0" w:color="auto"/>
        <w:bottom w:val="none" w:sz="0" w:space="0" w:color="auto"/>
        <w:right w:val="none" w:sz="0" w:space="0" w:color="auto"/>
      </w:divBdr>
    </w:div>
    <w:div w:id="210784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A1838-37C0-4FED-B481-EC0D82905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11</Pages>
  <Words>4094</Words>
  <Characters>23336</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68</cp:revision>
  <cp:lastPrinted>1899-12-31T23:00:00Z</cp:lastPrinted>
  <dcterms:created xsi:type="dcterms:W3CDTF">2019-12-16T08:11:00Z</dcterms:created>
  <dcterms:modified xsi:type="dcterms:W3CDTF">2021-08-10T09:19:00Z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